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C1677" w:rsidRDefault="00A56976">
      <w:pPr>
        <w:keepNext/>
        <w:numPr>
          <w:ilvl w:val="1"/>
          <w:numId w:val="1"/>
        </w:numPr>
        <w:tabs>
          <w:tab w:val="left" w:pos="1903"/>
          <w:tab w:val="center" w:pos="4320"/>
        </w:tabs>
        <w:spacing w:line="240" w:lineRule="auto"/>
        <w:ind w:hanging="576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323215" cy="335915"/>
            <wp:effectExtent l="0" t="0" r="0" b="0"/>
            <wp:docPr id="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3359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b/>
          <w:color w:val="660033"/>
          <w:sz w:val="20"/>
          <w:szCs w:val="20"/>
        </w:rPr>
        <w:tab/>
      </w:r>
      <w:r>
        <w:rPr>
          <w:rFonts w:ascii="Verdana" w:eastAsia="Verdana" w:hAnsi="Verdana" w:cs="Verdana"/>
          <w:b/>
          <w:color w:val="660033"/>
          <w:sz w:val="20"/>
          <w:szCs w:val="20"/>
        </w:rPr>
        <w:tab/>
      </w:r>
      <w:r>
        <w:rPr>
          <w:rFonts w:ascii="Verdana" w:eastAsia="Verdana" w:hAnsi="Verdana" w:cs="Verdana"/>
          <w:b/>
          <w:color w:val="660033"/>
          <w:sz w:val="16"/>
          <w:szCs w:val="16"/>
        </w:rPr>
        <w:t>Istituto Tecnico Industriale</w:t>
      </w:r>
      <w:r>
        <w:rPr>
          <w:noProof/>
        </w:rPr>
        <w:drawing>
          <wp:anchor distT="0" distB="0" distL="114935" distR="114935" simplePos="0" relativeHeight="251658240" behindDoc="0" locked="0" layoutInCell="0" allowOverlap="1">
            <wp:simplePos x="0" y="0"/>
            <wp:positionH relativeFrom="margin">
              <wp:posOffset>-114299</wp:posOffset>
            </wp:positionH>
            <wp:positionV relativeFrom="paragraph">
              <wp:posOffset>-367029</wp:posOffset>
            </wp:positionV>
            <wp:extent cx="1362075" cy="817245"/>
            <wp:effectExtent l="0" t="0" r="0" b="0"/>
            <wp:wrapNone/>
            <wp:docPr id="2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172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>
            <wp:simplePos x="0" y="0"/>
            <wp:positionH relativeFrom="margin">
              <wp:posOffset>2628900</wp:posOffset>
            </wp:positionH>
            <wp:positionV relativeFrom="paragraph">
              <wp:posOffset>-228599</wp:posOffset>
            </wp:positionV>
            <wp:extent cx="704215" cy="790575"/>
            <wp:effectExtent l="0" t="0" r="0" b="0"/>
            <wp:wrapSquare wrapText="bothSides" distT="0" distB="0" distL="114935" distR="114935"/>
            <wp:docPr id="3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0288" behindDoc="0" locked="0" layoutInCell="0" allowOverlap="1">
            <wp:simplePos x="0" y="0"/>
            <wp:positionH relativeFrom="margin">
              <wp:posOffset>5372100</wp:posOffset>
            </wp:positionH>
            <wp:positionV relativeFrom="paragraph">
              <wp:posOffset>-228599</wp:posOffset>
            </wp:positionV>
            <wp:extent cx="320675" cy="443865"/>
            <wp:effectExtent l="0" t="0" r="0" b="0"/>
            <wp:wrapSquare wrapText="bothSides" distT="0" distB="0" distL="114935" distR="114935"/>
            <wp:docPr id="4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675" cy="443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1312" behindDoc="0" locked="0" layoutInCell="0" allowOverlap="1">
            <wp:simplePos x="0" y="0"/>
            <wp:positionH relativeFrom="margin">
              <wp:posOffset>4933950</wp:posOffset>
            </wp:positionH>
            <wp:positionV relativeFrom="paragraph">
              <wp:posOffset>-228599</wp:posOffset>
            </wp:positionV>
            <wp:extent cx="409575" cy="561975"/>
            <wp:effectExtent l="0" t="0" r="0" b="0"/>
            <wp:wrapSquare wrapText="bothSides" distT="0" distB="0" distL="114935" distR="114935"/>
            <wp:docPr id="5" name="image1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jpg"/>
                    <pic:cNvPicPr preferRelativeResize="0"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A56976">
      <w:pPr>
        <w:tabs>
          <w:tab w:val="left" w:pos="2121"/>
          <w:tab w:val="center" w:pos="4320"/>
          <w:tab w:val="left" w:pos="4830"/>
          <w:tab w:val="left" w:pos="6960"/>
        </w:tabs>
        <w:spacing w:line="240" w:lineRule="auto"/>
      </w:pPr>
      <w:r>
        <w:rPr>
          <w:rFonts w:ascii="Verdana" w:eastAsia="Verdana" w:hAnsi="Verdana" w:cs="Verdana"/>
          <w:b/>
          <w:color w:val="660033"/>
          <w:sz w:val="16"/>
          <w:szCs w:val="16"/>
        </w:rPr>
        <w:tab/>
        <w:t xml:space="preserve">      STANISLAO CANNIZZARO</w:t>
      </w:r>
    </w:p>
    <w:p w:rsidR="006C1677" w:rsidRDefault="00A56976">
      <w:pPr>
        <w:keepNext/>
        <w:numPr>
          <w:ilvl w:val="0"/>
          <w:numId w:val="1"/>
        </w:numPr>
        <w:tabs>
          <w:tab w:val="left" w:pos="2044"/>
          <w:tab w:val="center" w:pos="4320"/>
        </w:tabs>
        <w:spacing w:line="240" w:lineRule="auto"/>
        <w:ind w:hanging="432"/>
        <w:jc w:val="center"/>
        <w:rPr>
          <w:b/>
          <w:color w:val="FFFF00"/>
          <w:sz w:val="24"/>
          <w:szCs w:val="24"/>
        </w:rPr>
      </w:pPr>
      <w:r>
        <w:rPr>
          <w:rFonts w:ascii="Verdana" w:eastAsia="Verdana" w:hAnsi="Verdana" w:cs="Verdana"/>
          <w:b/>
          <w:color w:val="660033"/>
          <w:sz w:val="16"/>
          <w:szCs w:val="16"/>
        </w:rPr>
        <w:t xml:space="preserve">          CATANIA</w:t>
      </w:r>
      <w:r>
        <w:rPr>
          <w:noProof/>
        </w:rPr>
        <w:drawing>
          <wp:anchor distT="0" distB="0" distL="114935" distR="114935" simplePos="0" relativeHeight="251662336" behindDoc="0" locked="0" layoutInCell="0" allowOverlap="1">
            <wp:simplePos x="0" y="0"/>
            <wp:positionH relativeFrom="margin">
              <wp:posOffset>4343400</wp:posOffset>
            </wp:positionH>
            <wp:positionV relativeFrom="paragraph">
              <wp:posOffset>86995</wp:posOffset>
            </wp:positionV>
            <wp:extent cx="333375" cy="333375"/>
            <wp:effectExtent l="0" t="0" r="0" b="0"/>
            <wp:wrapSquare wrapText="bothSides" distT="0" distB="0" distL="114935" distR="114935"/>
            <wp:docPr id="6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3360" behindDoc="0" locked="0" layoutInCell="0" allowOverlap="1">
            <wp:simplePos x="0" y="0"/>
            <wp:positionH relativeFrom="margin">
              <wp:posOffset>5372100</wp:posOffset>
            </wp:positionH>
            <wp:positionV relativeFrom="paragraph">
              <wp:posOffset>86995</wp:posOffset>
            </wp:positionV>
            <wp:extent cx="333375" cy="313690"/>
            <wp:effectExtent l="0" t="0" r="0" b="0"/>
            <wp:wrapSquare wrapText="bothSides" distT="0" distB="0" distL="114935" distR="114935"/>
            <wp:docPr id="7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36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4384" behindDoc="0" locked="0" layoutInCell="0" allowOverlap="1">
            <wp:simplePos x="0" y="0"/>
            <wp:positionH relativeFrom="margin">
              <wp:posOffset>3771900</wp:posOffset>
            </wp:positionH>
            <wp:positionV relativeFrom="paragraph">
              <wp:posOffset>86995</wp:posOffset>
            </wp:positionV>
            <wp:extent cx="447675" cy="349250"/>
            <wp:effectExtent l="0" t="0" r="0" b="0"/>
            <wp:wrapSquare wrapText="bothSides" distT="0" distB="0" distL="114935" distR="114935"/>
            <wp:docPr id="8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4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5408" behindDoc="0" locked="0" layoutInCell="0" allowOverlap="1">
            <wp:simplePos x="0" y="0"/>
            <wp:positionH relativeFrom="margin">
              <wp:posOffset>4686300</wp:posOffset>
            </wp:positionH>
            <wp:positionV relativeFrom="paragraph">
              <wp:posOffset>86995</wp:posOffset>
            </wp:positionV>
            <wp:extent cx="561975" cy="337185"/>
            <wp:effectExtent l="0" t="0" r="0" b="0"/>
            <wp:wrapSquare wrapText="bothSides" distT="0" distB="0" distL="114935" distR="114935"/>
            <wp:docPr id="9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71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A56976">
      <w:pPr>
        <w:tabs>
          <w:tab w:val="center" w:pos="1710"/>
          <w:tab w:val="right" w:pos="3420"/>
        </w:tabs>
        <w:spacing w:line="240" w:lineRule="auto"/>
      </w:pPr>
      <w:r>
        <w:rPr>
          <w:noProof/>
        </w:rPr>
        <w:drawing>
          <wp:anchor distT="0" distB="0" distL="114935" distR="114935" simplePos="0" relativeHeight="251666432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76275" cy="398780"/>
            <wp:effectExtent l="0" t="0" r="0" b="0"/>
            <wp:wrapSquare wrapText="bothSides" distT="0" distB="0" distL="114935" distR="114935"/>
            <wp:docPr id="10" name="image2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jpg"/>
                    <pic:cNvPicPr preferRelativeResize="0"/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987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935" distR="114935" simplePos="0" relativeHeight="251667456" behindDoc="0" locked="0" layoutInCell="0" allowOverlap="1">
            <wp:simplePos x="0" y="0"/>
            <wp:positionH relativeFrom="margin">
              <wp:posOffset>3200400</wp:posOffset>
            </wp:positionH>
            <wp:positionV relativeFrom="paragraph">
              <wp:posOffset>15875</wp:posOffset>
            </wp:positionV>
            <wp:extent cx="447675" cy="195580"/>
            <wp:effectExtent l="0" t="0" r="0" b="0"/>
            <wp:wrapSquare wrapText="bothSides" distT="0" distB="0" distL="114935" distR="114935"/>
            <wp:docPr id="12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955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Default="006C1677">
      <w:pPr>
        <w:spacing w:line="240" w:lineRule="auto"/>
        <w:jc w:val="right"/>
      </w:pPr>
    </w:p>
    <w:p w:rsidR="006C1677" w:rsidRDefault="00A56976">
      <w:pPr>
        <w:spacing w:line="240" w:lineRule="auto"/>
        <w:jc w:val="right"/>
      </w:pPr>
      <w:r>
        <w:rPr>
          <w:b/>
          <w:color w:val="0000FF"/>
          <w:sz w:val="16"/>
          <w:szCs w:val="16"/>
        </w:rPr>
        <w:t xml:space="preserve">CENTRO  POLIFUNZIONALE  DI SERVIZIO  DEL  MIUR, SCUOLA  RETE  ENIS </w:t>
      </w:r>
      <w:r>
        <w:rPr>
          <w:b/>
          <w:color w:val="0000FF"/>
          <w:sz w:val="16"/>
          <w:szCs w:val="16"/>
        </w:rPr>
        <w:br/>
      </w:r>
      <w:r>
        <w:rPr>
          <w:b/>
          <w:color w:val="0000CC"/>
          <w:sz w:val="16"/>
          <w:szCs w:val="16"/>
        </w:rPr>
        <w:t>capofila consorzio Aetnanet, aderente all’ASAS, Associazione Scuole autonome Sicilia</w:t>
      </w:r>
      <w:r>
        <w:rPr>
          <w:b/>
          <w:color w:val="0000CC"/>
          <w:sz w:val="16"/>
          <w:szCs w:val="16"/>
        </w:rPr>
        <w:br/>
      </w: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Direzione: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Via C. Pisacane, 1 - 95122 Catania      Via Palermo, 282 (Ingresso merci e locali tecnici) </w:t>
      </w:r>
      <w:r>
        <w:rPr>
          <w:noProof/>
        </w:rPr>
        <w:drawing>
          <wp:anchor distT="0" distB="0" distL="114935" distR="114935" simplePos="0" relativeHeight="251668480" behindDoc="0" locked="0" layoutInCell="0" allowOverlap="1">
            <wp:simplePos x="0" y="0"/>
            <wp:positionH relativeFrom="margin">
              <wp:posOffset>457200</wp:posOffset>
            </wp:positionH>
            <wp:positionV relativeFrom="paragraph">
              <wp:posOffset>15875</wp:posOffset>
            </wp:positionV>
            <wp:extent cx="431165" cy="276225"/>
            <wp:effectExtent l="0" t="0" r="0" b="0"/>
            <wp:wrapSquare wrapText="bothSides" distT="0" distB="0" distL="114935" distR="114935"/>
            <wp:docPr id="11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C1677" w:rsidRPr="002210FC" w:rsidRDefault="00A56976">
      <w:pPr>
        <w:spacing w:line="240" w:lineRule="auto"/>
        <w:jc w:val="right"/>
        <w:rPr>
          <w:lang w:val="en-US"/>
        </w:rPr>
      </w:pPr>
      <w:r w:rsidRPr="002210FC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Tel.095 6136450 – Fax.095 6136449   </w:t>
      </w:r>
      <w:r w:rsidRPr="002210FC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  <w:t>www.cannizzaroct..gov.it</w:t>
      </w:r>
      <w:r w:rsidRPr="002210FC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   </w:t>
      </w:r>
      <w:hyperlink r:id="rId20">
        <w:r w:rsidRPr="002210F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dsmontella@libero.it</w:t>
        </w:r>
      </w:hyperlink>
      <w:r w:rsidRPr="002210FC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 </w:t>
      </w:r>
    </w:p>
    <w:p w:rsidR="006C1677" w:rsidRDefault="00A56976">
      <w:pPr>
        <w:spacing w:line="240" w:lineRule="auto"/>
      </w:pPr>
      <w:r w:rsidRPr="002210FC">
        <w:rPr>
          <w:rFonts w:ascii="Times New Roman" w:eastAsia="Times New Roman" w:hAnsi="Times New Roman" w:cs="Times New Roman"/>
          <w:sz w:val="16"/>
          <w:szCs w:val="16"/>
          <w:lang w:val="en-US"/>
        </w:rPr>
        <w:tab/>
      </w:r>
      <w:r w:rsidRPr="002210FC">
        <w:rPr>
          <w:rFonts w:ascii="Times New Roman" w:eastAsia="Times New Roman" w:hAnsi="Times New Roman" w:cs="Times New Roman"/>
          <w:sz w:val="16"/>
          <w:szCs w:val="16"/>
          <w:lang w:val="en-US"/>
        </w:rPr>
        <w:tab/>
      </w:r>
      <w:r w:rsidRPr="00754402">
        <w:rPr>
          <w:rFonts w:ascii="Times New Roman" w:eastAsia="Times New Roman" w:hAnsi="Times New Roman" w:cs="Times New Roman"/>
          <w:sz w:val="16"/>
          <w:szCs w:val="16"/>
          <w:lang w:val="en-US"/>
        </w:rPr>
        <w:t xml:space="preserve">        </w:t>
      </w:r>
      <w:r>
        <w:rPr>
          <w:rFonts w:ascii="Times New Roman" w:eastAsia="Times New Roman" w:hAnsi="Times New Roman" w:cs="Times New Roman"/>
          <w:sz w:val="16"/>
          <w:szCs w:val="16"/>
        </w:rPr>
        <w:t>Codice Meccanografico: CTTF03000R</w:t>
      </w:r>
      <mc:AlternateContent>
        <mc:Choice Requires="wpg">
          <w:r w:rsidR="001F6153">
            <w:rPr>
              <w:noProof/>
            </w:rPr>
            <w:drawing>
              <wp:anchor distT="0" distB="0" distL="114300" distR="114300" simplePos="0" relativeHeight="251669504" behindDoc="0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057900" cy="12700"/>
                <wp:effectExtent l="0" t="0" r="0" b="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17050" y="3780000"/>
                          <a:ext cx="6057899" cy="0"/>
                        </a:xfrm>
                        <a:prstGeom prst="straightConnector1">
                          <a:avLst/>
                        </a:prstGeom>
                        <a:noFill/>
                        <a:ln w="12600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w:r>
        </mc:Choice>
        <ve:Fallback xmlns:ve="http://schemas.openxmlformats.org/markup-compatibility/2006">
          <w:r>
            <w:rPr>
              <w:noProof/>
            </w:rPr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127000</wp:posOffset>
                </wp:positionV>
                <wp:extent cx="6057900" cy="12700"/>
                <wp:effectExtent l="0" t="0" r="0" b="0"/>
                <wp:wrapNone/>
                <wp:docPr id="13" name="image2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79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mc:AlternateContent>
    </w:p>
    <w:p w:rsidR="006C1677" w:rsidRDefault="00A56976">
      <w:pPr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C1677" w:rsidRDefault="006C1677">
      <w:pPr>
        <w:spacing w:line="240" w:lineRule="auto"/>
      </w:pPr>
    </w:p>
    <w:p w:rsidR="006C1677" w:rsidRDefault="006C1677">
      <w:pPr>
        <w:spacing w:line="240" w:lineRule="auto"/>
      </w:pPr>
    </w:p>
    <w:p w:rsidR="006C1677" w:rsidRDefault="00A56976">
      <w:pPr>
        <w:spacing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Catania, </w:t>
      </w:r>
      <w:r w:rsidR="00617FC3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="002210FC">
        <w:rPr>
          <w:rFonts w:ascii="Times New Roman" w:eastAsia="Times New Roman" w:hAnsi="Times New Roman" w:cs="Times New Roman"/>
          <w:b/>
          <w:sz w:val="24"/>
          <w:szCs w:val="24"/>
        </w:rPr>
        <w:t>/10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/2016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6C1677" w:rsidRDefault="006C1677">
      <w:pPr>
        <w:spacing w:line="240" w:lineRule="auto"/>
        <w:jc w:val="right"/>
      </w:pPr>
    </w:p>
    <w:p w:rsidR="006C1677" w:rsidRDefault="0043492C">
      <w:pPr>
        <w:widowControl w:val="0"/>
        <w:spacing w:line="240" w:lineRule="auto"/>
        <w:jc w:val="center"/>
      </w:pPr>
      <w:r>
        <w:rPr>
          <w:sz w:val="24"/>
          <w:szCs w:val="24"/>
        </w:rPr>
        <w:t>Alternanza Scuola Lavoro 2016/17</w:t>
      </w:r>
    </w:p>
    <w:p w:rsidR="006C1677" w:rsidRDefault="006C1677">
      <w:pPr>
        <w:widowControl w:val="0"/>
        <w:spacing w:line="240" w:lineRule="auto"/>
        <w:jc w:val="center"/>
      </w:pPr>
    </w:p>
    <w:p w:rsidR="006C1677" w:rsidRDefault="00A56976">
      <w:pPr>
        <w:widowControl w:val="0"/>
        <w:spacing w:line="240" w:lineRule="auto"/>
        <w:jc w:val="center"/>
      </w:pPr>
      <w:r>
        <w:rPr>
          <w:b/>
          <w:sz w:val="24"/>
          <w:szCs w:val="24"/>
        </w:rPr>
        <w:t>PROGET</w:t>
      </w:r>
      <w:r w:rsidR="00B31AF7">
        <w:rPr>
          <w:b/>
          <w:sz w:val="24"/>
          <w:szCs w:val="24"/>
        </w:rPr>
        <w:t>TO  “Laboratorio della Chimica semplice</w:t>
      </w:r>
      <w:r>
        <w:rPr>
          <w:b/>
          <w:sz w:val="24"/>
          <w:szCs w:val="24"/>
        </w:rPr>
        <w:t>”</w:t>
      </w:r>
    </w:p>
    <w:p w:rsidR="006C1677" w:rsidRDefault="006C1677">
      <w:pPr>
        <w:widowControl w:val="0"/>
        <w:spacing w:line="240" w:lineRule="auto"/>
        <w:jc w:val="center"/>
      </w:pPr>
    </w:p>
    <w:p w:rsidR="006C1677" w:rsidRDefault="006C1677">
      <w:pPr>
        <w:widowControl w:val="0"/>
        <w:spacing w:line="240" w:lineRule="auto"/>
        <w:jc w:val="center"/>
      </w:pPr>
    </w:p>
    <w:p w:rsidR="006C1677" w:rsidRDefault="00A56976">
      <w:pPr>
        <w:widowControl w:val="0"/>
        <w:spacing w:line="240" w:lineRule="auto"/>
        <w:jc w:val="both"/>
      </w:pPr>
      <w:r>
        <w:rPr>
          <w:sz w:val="24"/>
          <w:szCs w:val="24"/>
        </w:rPr>
        <w:t>Nell’ambito del percorso di ASL, l’ITI “S. Cannizzaro” pr</w:t>
      </w:r>
      <w:r w:rsidR="00C00BCE">
        <w:rPr>
          <w:sz w:val="24"/>
          <w:szCs w:val="24"/>
        </w:rPr>
        <w:t>esenta alle</w:t>
      </w:r>
      <w:r>
        <w:rPr>
          <w:sz w:val="24"/>
          <w:szCs w:val="24"/>
        </w:rPr>
        <w:t xml:space="preserve"> scuole secondarie del primo ordine il progetto</w:t>
      </w:r>
      <w:r w:rsidR="00754402">
        <w:rPr>
          <w:b/>
          <w:sz w:val="24"/>
          <w:szCs w:val="24"/>
        </w:rPr>
        <w:t xml:space="preserve"> “Laboratorio della</w:t>
      </w:r>
      <w:r w:rsidR="002210FC">
        <w:rPr>
          <w:b/>
          <w:sz w:val="24"/>
          <w:szCs w:val="24"/>
        </w:rPr>
        <w:t xml:space="preserve"> </w:t>
      </w:r>
      <w:r w:rsidR="00754402">
        <w:rPr>
          <w:b/>
          <w:sz w:val="24"/>
          <w:szCs w:val="24"/>
        </w:rPr>
        <w:t>Chimica semplice</w:t>
      </w:r>
      <w:r>
        <w:rPr>
          <w:b/>
          <w:sz w:val="24"/>
          <w:szCs w:val="24"/>
        </w:rPr>
        <w:t>”</w:t>
      </w:r>
      <w:r>
        <w:rPr>
          <w:sz w:val="24"/>
          <w:szCs w:val="24"/>
        </w:rPr>
        <w:t xml:space="preserve"> che ha il fine di erogare corsi</w:t>
      </w:r>
      <w:r w:rsidR="002210FC">
        <w:rPr>
          <w:sz w:val="24"/>
          <w:szCs w:val="24"/>
        </w:rPr>
        <w:t xml:space="preserve"> di alfabetizzazione alla pratica di laboratorio di Chimica</w:t>
      </w:r>
      <w:r>
        <w:rPr>
          <w:sz w:val="24"/>
          <w:szCs w:val="24"/>
        </w:rPr>
        <w:t xml:space="preserve">. </w:t>
      </w:r>
    </w:p>
    <w:p w:rsidR="006C1677" w:rsidRDefault="006C1677">
      <w:pPr>
        <w:widowControl w:val="0"/>
        <w:spacing w:line="240" w:lineRule="auto"/>
        <w:jc w:val="both"/>
      </w:pPr>
    </w:p>
    <w:p w:rsidR="003C2D10" w:rsidRDefault="003C2D10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corso </w:t>
      </w:r>
      <w:r w:rsidR="008A55CA">
        <w:rPr>
          <w:sz w:val="24"/>
          <w:szCs w:val="24"/>
        </w:rPr>
        <w:t>e’ destinato agli studenti della terza classe della scuola secondaria del primo ordine, per fornire loro delle compete</w:t>
      </w:r>
      <w:r w:rsidR="00C150A7">
        <w:rPr>
          <w:sz w:val="24"/>
          <w:szCs w:val="24"/>
        </w:rPr>
        <w:t>nze immediatamente fruibil</w:t>
      </w:r>
      <w:r w:rsidR="002210FC">
        <w:rPr>
          <w:sz w:val="24"/>
          <w:szCs w:val="24"/>
        </w:rPr>
        <w:t>i</w:t>
      </w:r>
      <w:r w:rsidR="00426D35">
        <w:rPr>
          <w:sz w:val="24"/>
          <w:szCs w:val="24"/>
        </w:rPr>
        <w:t>,</w:t>
      </w:r>
      <w:r w:rsidR="002210FC">
        <w:rPr>
          <w:sz w:val="24"/>
          <w:szCs w:val="24"/>
        </w:rPr>
        <w:t xml:space="preserve"> pensate come ausilio alla studio delle scienze e come eventuale</w:t>
      </w:r>
      <w:r w:rsidR="00426D35">
        <w:rPr>
          <w:sz w:val="24"/>
          <w:szCs w:val="24"/>
        </w:rPr>
        <w:t xml:space="preserve"> esperienza da illustrare</w:t>
      </w:r>
      <w:r w:rsidR="00C150A7">
        <w:rPr>
          <w:sz w:val="24"/>
          <w:szCs w:val="24"/>
        </w:rPr>
        <w:t xml:space="preserve"> in sede di esame conclusivo del loro ciclo di studi.</w:t>
      </w:r>
      <w:r w:rsidR="006B4DFE">
        <w:rPr>
          <w:sz w:val="24"/>
          <w:szCs w:val="24"/>
        </w:rPr>
        <w:t xml:space="preserve"> </w:t>
      </w:r>
    </w:p>
    <w:p w:rsidR="006C1677" w:rsidRDefault="00A56976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corso prevede lezioni di 2 ore ciascuna in cui si alternano spiegazioni teoriche e </w:t>
      </w:r>
      <w:r w:rsidR="00C00BCE">
        <w:rPr>
          <w:sz w:val="24"/>
          <w:szCs w:val="24"/>
        </w:rPr>
        <w:t>attività</w:t>
      </w:r>
      <w:r>
        <w:rPr>
          <w:sz w:val="24"/>
          <w:szCs w:val="24"/>
        </w:rPr>
        <w:t xml:space="preserve"> pratiche di laboratorio</w:t>
      </w:r>
      <w:r w:rsidR="00AB4D7A">
        <w:rPr>
          <w:sz w:val="24"/>
          <w:szCs w:val="24"/>
        </w:rPr>
        <w:t>, per un totale di 6 lezioni</w:t>
      </w:r>
      <w:r>
        <w:rPr>
          <w:sz w:val="24"/>
          <w:szCs w:val="24"/>
        </w:rPr>
        <w:t>.</w:t>
      </w:r>
      <w:r w:rsidR="002F26AC">
        <w:rPr>
          <w:sz w:val="24"/>
          <w:szCs w:val="24"/>
        </w:rPr>
        <w:t xml:space="preserve"> Le lezioni avranno cadenza settimanale scaglionata (1</w:t>
      </w:r>
      <w:r w:rsidR="00515D05">
        <w:rPr>
          <w:sz w:val="24"/>
          <w:szCs w:val="24"/>
        </w:rPr>
        <w:t>° settimana lunedì, 2°</w:t>
      </w:r>
      <w:r w:rsidR="007657A6">
        <w:rPr>
          <w:sz w:val="24"/>
          <w:szCs w:val="24"/>
        </w:rPr>
        <w:t xml:space="preserve"> settimana martedì,  …)</w:t>
      </w:r>
      <w:r w:rsidR="00626215">
        <w:rPr>
          <w:sz w:val="24"/>
          <w:szCs w:val="24"/>
        </w:rPr>
        <w:t xml:space="preserve"> per far s</w:t>
      </w:r>
      <w:r w:rsidR="005828D5">
        <w:rPr>
          <w:sz w:val="24"/>
          <w:szCs w:val="24"/>
        </w:rPr>
        <w:t>i che i discenti dell’Istituto ospitante</w:t>
      </w:r>
      <w:r w:rsidR="003F32FB">
        <w:rPr>
          <w:sz w:val="24"/>
          <w:szCs w:val="24"/>
        </w:rPr>
        <w:t xml:space="preserve"> non “perdano” sempre le stesse lezioni curricolari.</w:t>
      </w:r>
      <w:r w:rsidR="00F56799">
        <w:rPr>
          <w:sz w:val="24"/>
          <w:szCs w:val="24"/>
        </w:rPr>
        <w:t xml:space="preserve"> Esse si svolgeranno in orario antimeridiano.</w:t>
      </w:r>
      <w:r>
        <w:rPr>
          <w:sz w:val="24"/>
          <w:szCs w:val="24"/>
        </w:rPr>
        <w:t xml:space="preserve"> </w:t>
      </w:r>
      <w:r w:rsidR="001E3FC9">
        <w:rPr>
          <w:sz w:val="24"/>
          <w:szCs w:val="24"/>
        </w:rPr>
        <w:t xml:space="preserve">Nel corso di una mattinata </w:t>
      </w:r>
      <w:r w:rsidR="00EF72BD">
        <w:rPr>
          <w:sz w:val="24"/>
          <w:szCs w:val="24"/>
        </w:rPr>
        <w:t xml:space="preserve">possono essere istruiti due diversi gruppi classe. </w:t>
      </w:r>
      <w:r>
        <w:rPr>
          <w:sz w:val="24"/>
          <w:szCs w:val="24"/>
        </w:rPr>
        <w:t xml:space="preserve">Il corso </w:t>
      </w:r>
      <w:r w:rsidR="00C150A7">
        <w:rPr>
          <w:sz w:val="24"/>
          <w:szCs w:val="24"/>
        </w:rPr>
        <w:t>sarà</w:t>
      </w:r>
      <w:r w:rsidR="005E751D">
        <w:rPr>
          <w:sz w:val="24"/>
          <w:szCs w:val="24"/>
        </w:rPr>
        <w:t xml:space="preserve"> erogato</w:t>
      </w:r>
      <w:r>
        <w:rPr>
          <w:sz w:val="24"/>
          <w:szCs w:val="24"/>
        </w:rPr>
        <w:t xml:space="preserve"> presso l’Istituto ospitante </w:t>
      </w:r>
      <w:r w:rsidR="00C150A7">
        <w:rPr>
          <w:sz w:val="24"/>
          <w:szCs w:val="24"/>
        </w:rPr>
        <w:t>purché</w:t>
      </w:r>
      <w:r>
        <w:rPr>
          <w:sz w:val="24"/>
          <w:szCs w:val="24"/>
        </w:rPr>
        <w:t xml:space="preserve"> esso sia fornito di un</w:t>
      </w:r>
      <w:r w:rsidR="00426D35">
        <w:rPr>
          <w:sz w:val="24"/>
          <w:szCs w:val="24"/>
        </w:rPr>
        <w:t xml:space="preserve">o spazio dotato di </w:t>
      </w:r>
      <w:r w:rsidR="000F6FEF">
        <w:rPr>
          <w:sz w:val="24"/>
          <w:szCs w:val="24"/>
        </w:rPr>
        <w:t xml:space="preserve"> un </w:t>
      </w:r>
      <w:r w:rsidR="00B31AF7">
        <w:rPr>
          <w:sz w:val="24"/>
          <w:szCs w:val="24"/>
        </w:rPr>
        <w:t>bancone o</w:t>
      </w:r>
      <w:r w:rsidR="000F6FEF">
        <w:rPr>
          <w:sz w:val="24"/>
          <w:szCs w:val="24"/>
        </w:rPr>
        <w:t xml:space="preserve"> di</w:t>
      </w:r>
      <w:r w:rsidR="00426D35">
        <w:rPr>
          <w:sz w:val="24"/>
          <w:szCs w:val="24"/>
        </w:rPr>
        <w:t xml:space="preserve"> un grande tavolo su cui operare le esperienze</w:t>
      </w:r>
      <w:r w:rsidR="005E751D">
        <w:rPr>
          <w:sz w:val="24"/>
          <w:szCs w:val="24"/>
        </w:rPr>
        <w:t xml:space="preserve">. Nel caso in cui </w:t>
      </w:r>
      <w:r w:rsidR="003C2D10">
        <w:rPr>
          <w:sz w:val="24"/>
          <w:szCs w:val="24"/>
        </w:rPr>
        <w:t>l’Istituto ospitante</w:t>
      </w:r>
      <w:r w:rsidR="000F6FEF">
        <w:rPr>
          <w:sz w:val="24"/>
          <w:szCs w:val="24"/>
        </w:rPr>
        <w:t xml:space="preserve"> non possieda tali</w:t>
      </w:r>
      <w:r w:rsidR="00426D35">
        <w:rPr>
          <w:sz w:val="24"/>
          <w:szCs w:val="24"/>
        </w:rPr>
        <w:t xml:space="preserve"> caratteristiche</w:t>
      </w:r>
      <w:r w:rsidR="00733369">
        <w:rPr>
          <w:sz w:val="24"/>
          <w:szCs w:val="24"/>
        </w:rPr>
        <w:t xml:space="preserve"> il corso potrà</w:t>
      </w:r>
      <w:r>
        <w:rPr>
          <w:sz w:val="24"/>
          <w:szCs w:val="24"/>
        </w:rPr>
        <w:t xml:space="preserve"> essere </w:t>
      </w:r>
      <w:r w:rsidR="00733369">
        <w:rPr>
          <w:sz w:val="24"/>
          <w:szCs w:val="24"/>
        </w:rPr>
        <w:t>erogato</w:t>
      </w:r>
      <w:r>
        <w:rPr>
          <w:sz w:val="24"/>
          <w:szCs w:val="24"/>
        </w:rPr>
        <w:t xml:space="preserve"> presso i locali dell’ITI “S. Cannizzaro”.</w:t>
      </w:r>
    </w:p>
    <w:p w:rsidR="00AB4D7A" w:rsidRDefault="00AB4D7A">
      <w:pPr>
        <w:widowControl w:val="0"/>
        <w:spacing w:line="240" w:lineRule="auto"/>
        <w:jc w:val="both"/>
        <w:rPr>
          <w:sz w:val="24"/>
          <w:szCs w:val="24"/>
        </w:rPr>
      </w:pPr>
    </w:p>
    <w:p w:rsidR="00AB4D7A" w:rsidRDefault="00AB4D7A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corso potrà svolgersi nei mesi di novembre e dicembre, oppure nei mesi di gennaio e febbraio.</w:t>
      </w:r>
    </w:p>
    <w:p w:rsidR="006A24AE" w:rsidRDefault="006A24AE">
      <w:pPr>
        <w:widowControl w:val="0"/>
        <w:spacing w:line="240" w:lineRule="auto"/>
        <w:jc w:val="both"/>
        <w:rPr>
          <w:sz w:val="24"/>
          <w:szCs w:val="24"/>
        </w:rPr>
      </w:pPr>
    </w:p>
    <w:p w:rsidR="006A24AE" w:rsidRDefault="006A24AE">
      <w:pPr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Docenti del corso saranno gli studenti di</w:t>
      </w:r>
      <w:r w:rsidR="00426D35">
        <w:rPr>
          <w:sz w:val="24"/>
          <w:szCs w:val="24"/>
        </w:rPr>
        <w:t xml:space="preserve"> terzo,</w:t>
      </w:r>
      <w:r>
        <w:rPr>
          <w:sz w:val="24"/>
          <w:szCs w:val="24"/>
        </w:rPr>
        <w:t xml:space="preserve"> quarto e quinto anno della s</w:t>
      </w:r>
      <w:r w:rsidR="00426D35">
        <w:rPr>
          <w:sz w:val="24"/>
          <w:szCs w:val="24"/>
        </w:rPr>
        <w:t>pecializzazione Chimica divisi</w:t>
      </w:r>
      <w:r>
        <w:rPr>
          <w:sz w:val="24"/>
          <w:szCs w:val="24"/>
        </w:rPr>
        <w:t xml:space="preserve"> </w:t>
      </w:r>
      <w:r w:rsidR="00534895">
        <w:rPr>
          <w:sz w:val="24"/>
          <w:szCs w:val="24"/>
        </w:rPr>
        <w:t xml:space="preserve">in gruppi da quattro (un docente e tre tutor), accompagnati </w:t>
      </w:r>
      <w:r w:rsidR="002F26AC">
        <w:rPr>
          <w:sz w:val="24"/>
          <w:szCs w:val="24"/>
        </w:rPr>
        <w:t>e supportati da un docente dell’ITI “S. Cannizzaro”</w:t>
      </w:r>
      <w:r w:rsidR="00F56799">
        <w:rPr>
          <w:sz w:val="24"/>
          <w:szCs w:val="24"/>
        </w:rPr>
        <w:t>.</w:t>
      </w:r>
    </w:p>
    <w:p w:rsidR="00754402" w:rsidRDefault="00754402">
      <w:pPr>
        <w:widowControl w:val="0"/>
        <w:spacing w:line="240" w:lineRule="auto"/>
        <w:jc w:val="both"/>
        <w:rPr>
          <w:sz w:val="24"/>
          <w:szCs w:val="24"/>
        </w:rPr>
      </w:pPr>
    </w:p>
    <w:p w:rsidR="00754402" w:rsidRDefault="00754402">
      <w:pPr>
        <w:widowControl w:val="0"/>
        <w:spacing w:line="240" w:lineRule="auto"/>
        <w:jc w:val="both"/>
        <w:rPr>
          <w:sz w:val="24"/>
          <w:szCs w:val="24"/>
        </w:rPr>
      </w:pPr>
    </w:p>
    <w:p w:rsidR="0054381A" w:rsidRDefault="0054381A" w:rsidP="001E3FC9">
      <w:pPr>
        <w:spacing w:line="240" w:lineRule="auto"/>
        <w:jc w:val="both"/>
        <w:rPr>
          <w:sz w:val="24"/>
          <w:szCs w:val="24"/>
        </w:rPr>
      </w:pPr>
    </w:p>
    <w:p w:rsidR="006C1677" w:rsidRDefault="00A56976" w:rsidP="001E3FC9">
      <w:pPr>
        <w:spacing w:line="240" w:lineRule="auto"/>
        <w:jc w:val="both"/>
      </w:pPr>
      <w:r>
        <w:rPr>
          <w:sz w:val="24"/>
          <w:szCs w:val="24"/>
        </w:rPr>
        <w:t>A seguire il programma del corso proposto:</w:t>
      </w:r>
    </w:p>
    <w:p w:rsidR="006C1677" w:rsidRDefault="006C1677">
      <w:pPr>
        <w:widowControl w:val="0"/>
        <w:spacing w:line="240" w:lineRule="auto"/>
        <w:jc w:val="both"/>
      </w:pPr>
    </w:p>
    <w:tbl>
      <w:tblPr>
        <w:tblStyle w:val="a"/>
        <w:tblW w:w="992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44"/>
        <w:gridCol w:w="5970"/>
        <w:gridCol w:w="709"/>
      </w:tblGrid>
      <w:tr w:rsidR="006C1677" w:rsidTr="00901423"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lastRenderedPageBreak/>
              <w:t>Modulo</w:t>
            </w:r>
          </w:p>
        </w:tc>
        <w:tc>
          <w:tcPr>
            <w:tcW w:w="5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Contenuto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1677" w:rsidRDefault="00A56976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Ore</w:t>
            </w:r>
          </w:p>
        </w:tc>
      </w:tr>
      <w:tr w:rsidR="00283EE8" w:rsidTr="00901423"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Pr="00990B6B" w:rsidRDefault="009F5FFD" w:rsidP="009F5FFD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Che sorpresa la materia!</w:t>
            </w:r>
          </w:p>
        </w:tc>
        <w:tc>
          <w:tcPr>
            <w:tcW w:w="5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F5FFD" w:rsidRPr="00990B6B" w:rsidRDefault="009F5FFD" w:rsidP="009F5FFD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laboratorio: “Solido o fluido?”</w:t>
            </w:r>
          </w:p>
          <w:p w:rsidR="009F5FFD" w:rsidRDefault="009F5FFD" w:rsidP="00F22684">
            <w:pPr>
              <w:widowControl w:val="0"/>
              <w:spacing w:line="240" w:lineRule="auto"/>
            </w:pPr>
            <w:r>
              <w:t>Presupposti teorici:</w:t>
            </w:r>
          </w:p>
          <w:p w:rsidR="00283EE8" w:rsidRDefault="002C5F8D" w:rsidP="00F22684">
            <w:pPr>
              <w:widowControl w:val="0"/>
              <w:spacing w:line="240" w:lineRule="auto"/>
            </w:pPr>
            <w:r>
              <w:t xml:space="preserve">1. </w:t>
            </w:r>
            <w:r w:rsidR="00617FC3">
              <w:t>Le soluzioni</w:t>
            </w:r>
          </w:p>
          <w:p w:rsidR="009F5FFD" w:rsidRDefault="00617FC3" w:rsidP="00F22684">
            <w:pPr>
              <w:widowControl w:val="0"/>
              <w:spacing w:line="240" w:lineRule="auto"/>
            </w:pPr>
            <w:r>
              <w:t>2. I fluidi non newtoniani</w:t>
            </w:r>
          </w:p>
          <w:p w:rsidR="009F5FFD" w:rsidRPr="00990B6B" w:rsidRDefault="009F5FFD" w:rsidP="009F5FFD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laboratorio: “Il lievito a sorpresa!”</w:t>
            </w:r>
          </w:p>
          <w:p w:rsidR="009F5FFD" w:rsidRDefault="009F5FFD" w:rsidP="009F5FFD">
            <w:pPr>
              <w:widowControl w:val="0"/>
              <w:spacing w:line="240" w:lineRule="auto"/>
            </w:pPr>
            <w:r>
              <w:t>Presupposti teorici:</w:t>
            </w:r>
          </w:p>
          <w:p w:rsidR="009F5FFD" w:rsidRDefault="002C5F8D" w:rsidP="002C5F8D">
            <w:pPr>
              <w:widowControl w:val="0"/>
              <w:spacing w:line="240" w:lineRule="auto"/>
            </w:pPr>
            <w:r>
              <w:t xml:space="preserve">1. </w:t>
            </w:r>
            <w:r w:rsidR="00755E3C">
              <w:t xml:space="preserve">Gli enzimi: la </w:t>
            </w:r>
            <w:r>
              <w:t>per</w:t>
            </w:r>
            <w:r w:rsidR="00755E3C">
              <w:t>ossidasi</w:t>
            </w:r>
          </w:p>
          <w:p w:rsidR="00283EE8" w:rsidRDefault="002C5F8D" w:rsidP="009F5FFD">
            <w:pPr>
              <w:widowControl w:val="0"/>
              <w:spacing w:line="240" w:lineRule="auto"/>
            </w:pPr>
            <w:r>
              <w:t xml:space="preserve">2. </w:t>
            </w:r>
            <w:r w:rsidR="00755E3C">
              <w:t>La scissione enzimatica dell’acqua ossigenata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B31AF7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283EE8" w:rsidTr="00901423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Pr="00990B6B" w:rsidRDefault="00755E3C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La chimica è a colori…</w:t>
            </w:r>
          </w:p>
        </w:tc>
        <w:tc>
          <w:tcPr>
            <w:tcW w:w="5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5F8D" w:rsidRPr="00990B6B" w:rsidRDefault="002C5F8D" w:rsidP="002C5F8D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laboratorio: “Quando ti agiti diventi blù!”</w:t>
            </w:r>
          </w:p>
          <w:p w:rsidR="002C5F8D" w:rsidRDefault="002C5F8D" w:rsidP="002C5F8D">
            <w:pPr>
              <w:widowControl w:val="0"/>
              <w:spacing w:line="240" w:lineRule="auto"/>
            </w:pPr>
            <w:r>
              <w:t>Presupposti teorici:</w:t>
            </w:r>
          </w:p>
          <w:p w:rsidR="002C5F8D" w:rsidRDefault="002C5F8D" w:rsidP="002C5F8D">
            <w:pPr>
              <w:widowControl w:val="0"/>
              <w:spacing w:line="240" w:lineRule="auto"/>
            </w:pPr>
            <w:r>
              <w:t>1. Cos’è il colore.</w:t>
            </w:r>
          </w:p>
          <w:p w:rsidR="002C5F8D" w:rsidRDefault="002C5F8D">
            <w:pPr>
              <w:widowControl w:val="0"/>
              <w:spacing w:line="240" w:lineRule="auto"/>
            </w:pPr>
            <w:r>
              <w:t>2. Gli indicatori: blù di metilene</w:t>
            </w:r>
          </w:p>
          <w:p w:rsidR="002C5F8D" w:rsidRPr="00990B6B" w:rsidRDefault="002C5F8D" w:rsidP="002C5F8D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</w:t>
            </w:r>
            <w:r w:rsidR="00B31AF7" w:rsidRPr="00990B6B">
              <w:rPr>
                <w:b/>
              </w:rPr>
              <w:t>o: “C’è un semaforo chimico</w:t>
            </w:r>
            <w:r w:rsidRPr="00990B6B">
              <w:rPr>
                <w:b/>
              </w:rPr>
              <w:t>”</w:t>
            </w:r>
          </w:p>
          <w:p w:rsidR="00B31AF7" w:rsidRDefault="00B31AF7" w:rsidP="00B31AF7">
            <w:pPr>
              <w:widowControl w:val="0"/>
              <w:spacing w:line="240" w:lineRule="auto"/>
            </w:pPr>
            <w:r>
              <w:t>Presupposti teorici:</w:t>
            </w:r>
          </w:p>
          <w:p w:rsidR="00B31AF7" w:rsidRDefault="00B31AF7" w:rsidP="00B31AF7">
            <w:pPr>
              <w:widowControl w:val="0"/>
              <w:spacing w:line="240" w:lineRule="auto"/>
            </w:pPr>
            <w:r>
              <w:t>1.</w:t>
            </w:r>
            <w:r w:rsidR="00617FC3">
              <w:t xml:space="preserve"> Gli indicatori ossidoriduttivi</w:t>
            </w:r>
          </w:p>
          <w:p w:rsidR="002C5F8D" w:rsidRDefault="00617FC3">
            <w:pPr>
              <w:widowControl w:val="0"/>
              <w:spacing w:line="240" w:lineRule="auto"/>
            </w:pPr>
            <w:r>
              <w:t>2. L’ossidante per eccellenza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C5F8D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283EE8" w:rsidTr="00901423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Pr="00990B6B" w:rsidRDefault="0054381A" w:rsidP="0054381A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Qualcuno può spiegarmi c</w:t>
            </w:r>
            <w:r w:rsidR="00617FC3" w:rsidRPr="00990B6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osa sta succedendo?</w:t>
            </w:r>
          </w:p>
        </w:tc>
        <w:tc>
          <w:tcPr>
            <w:tcW w:w="5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7FC3" w:rsidRPr="00990B6B" w:rsidRDefault="00617FC3" w:rsidP="00617FC3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laboratorio: “La cascata di fumo”</w:t>
            </w:r>
          </w:p>
          <w:p w:rsidR="00617FC3" w:rsidRDefault="00617FC3" w:rsidP="00617FC3">
            <w:pPr>
              <w:widowControl w:val="0"/>
              <w:spacing w:line="240" w:lineRule="auto"/>
            </w:pPr>
            <w:r>
              <w:t>Presupposti teorici:</w:t>
            </w:r>
          </w:p>
          <w:p w:rsidR="00617FC3" w:rsidRDefault="00617FC3" w:rsidP="00617FC3">
            <w:pPr>
              <w:widowControl w:val="0"/>
              <w:spacing w:line="240" w:lineRule="auto"/>
            </w:pPr>
            <w:r>
              <w:t xml:space="preserve">1. </w:t>
            </w:r>
            <w:r w:rsidR="002B4513">
              <w:t>La combustione</w:t>
            </w:r>
          </w:p>
          <w:p w:rsidR="00617FC3" w:rsidRDefault="00617FC3" w:rsidP="00617FC3">
            <w:pPr>
              <w:widowControl w:val="0"/>
              <w:spacing w:line="240" w:lineRule="auto"/>
            </w:pPr>
            <w:r>
              <w:t>2. L</w:t>
            </w:r>
            <w:r w:rsidR="002B4513">
              <w:t>a densità</w:t>
            </w:r>
          </w:p>
          <w:p w:rsidR="00617FC3" w:rsidRPr="00990B6B" w:rsidRDefault="00617FC3" w:rsidP="00617FC3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</w:t>
            </w:r>
            <w:r w:rsidR="002B4513" w:rsidRPr="00990B6B">
              <w:rPr>
                <w:b/>
              </w:rPr>
              <w:t>o: “Trasferire l’invisibile</w:t>
            </w:r>
            <w:r w:rsidRPr="00990B6B">
              <w:rPr>
                <w:b/>
              </w:rPr>
              <w:t>”</w:t>
            </w:r>
          </w:p>
          <w:p w:rsidR="00617FC3" w:rsidRDefault="00617FC3" w:rsidP="00617FC3">
            <w:pPr>
              <w:widowControl w:val="0"/>
              <w:spacing w:line="240" w:lineRule="auto"/>
            </w:pPr>
            <w:r>
              <w:t>Presupposti teorici:</w:t>
            </w:r>
          </w:p>
          <w:p w:rsidR="00617FC3" w:rsidRDefault="00617FC3" w:rsidP="00617FC3">
            <w:pPr>
              <w:widowControl w:val="0"/>
              <w:spacing w:line="240" w:lineRule="auto"/>
            </w:pPr>
            <w:r>
              <w:t>1</w:t>
            </w:r>
            <w:r w:rsidR="002B4513">
              <w:t>. Combustibile e comburente</w:t>
            </w:r>
          </w:p>
          <w:p w:rsidR="00617FC3" w:rsidRDefault="00617FC3" w:rsidP="00617FC3">
            <w:pPr>
              <w:widowControl w:val="0"/>
              <w:spacing w:line="240" w:lineRule="auto"/>
            </w:pPr>
            <w:r>
              <w:t xml:space="preserve">2. </w:t>
            </w:r>
            <w:r w:rsidR="002B4513">
              <w:t>L’anidride carbonica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B31AF7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283EE8" w:rsidTr="00901423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Pr="00990B6B" w:rsidRDefault="0054381A" w:rsidP="0054381A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Questi cristalli prima non c’erano!</w:t>
            </w:r>
          </w:p>
        </w:tc>
        <w:tc>
          <w:tcPr>
            <w:tcW w:w="5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81A" w:rsidRPr="00990B6B" w:rsidRDefault="0054381A" w:rsidP="0054381A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laboratorio: “Reazioni di precipitazione”</w:t>
            </w:r>
          </w:p>
          <w:p w:rsidR="0054381A" w:rsidRDefault="0054381A" w:rsidP="0054381A">
            <w:pPr>
              <w:widowControl w:val="0"/>
              <w:spacing w:line="240" w:lineRule="auto"/>
            </w:pPr>
            <w:r>
              <w:t>Presupposti teorici:</w:t>
            </w:r>
          </w:p>
          <w:p w:rsidR="0054381A" w:rsidRDefault="0054381A" w:rsidP="0054381A">
            <w:pPr>
              <w:widowControl w:val="0"/>
              <w:spacing w:line="240" w:lineRule="auto"/>
            </w:pPr>
            <w:r>
              <w:t>1. Le reazioni</w:t>
            </w:r>
          </w:p>
          <w:p w:rsidR="005F737A" w:rsidRDefault="0054381A">
            <w:pPr>
              <w:widowControl w:val="0"/>
              <w:spacing w:line="240" w:lineRule="auto"/>
            </w:pPr>
            <w:r>
              <w:t>2. La solubilità</w:t>
            </w:r>
          </w:p>
          <w:p w:rsidR="0054381A" w:rsidRPr="00990B6B" w:rsidRDefault="0054381A" w:rsidP="0054381A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laboratorio: “La filtrazione”</w:t>
            </w:r>
          </w:p>
          <w:p w:rsidR="0054381A" w:rsidRDefault="0054381A" w:rsidP="0054381A">
            <w:pPr>
              <w:widowControl w:val="0"/>
              <w:spacing w:line="240" w:lineRule="auto"/>
            </w:pPr>
            <w:r>
              <w:t>Presupposti teorici:</w:t>
            </w:r>
          </w:p>
          <w:p w:rsidR="0054381A" w:rsidRDefault="0054381A" w:rsidP="0054381A">
            <w:pPr>
              <w:widowControl w:val="0"/>
              <w:spacing w:line="240" w:lineRule="auto"/>
            </w:pPr>
            <w:r>
              <w:t>1. Le tecniche separative</w:t>
            </w:r>
          </w:p>
          <w:p w:rsidR="0054381A" w:rsidRDefault="0054381A">
            <w:pPr>
              <w:widowControl w:val="0"/>
              <w:spacing w:line="240" w:lineRule="auto"/>
            </w:pPr>
            <w:r>
              <w:t>2. Come si prepara un filtro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3EE8" w:rsidRDefault="00283EE8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54381A" w:rsidTr="00901423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81A" w:rsidRPr="00990B6B" w:rsidRDefault="00990B6B" w:rsidP="0054381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990B6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Uffa non potremmo accelerare?</w:t>
            </w:r>
          </w:p>
        </w:tc>
        <w:tc>
          <w:tcPr>
            <w:tcW w:w="5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B6B" w:rsidRPr="00990B6B" w:rsidRDefault="00990B6B" w:rsidP="00990B6B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laboratorio: “Velocità di una reazione chimica: l’influenza della concentrazione”</w:t>
            </w:r>
          </w:p>
          <w:p w:rsidR="00990B6B" w:rsidRDefault="00990B6B" w:rsidP="00990B6B">
            <w:pPr>
              <w:widowControl w:val="0"/>
              <w:spacing w:line="240" w:lineRule="auto"/>
            </w:pPr>
            <w:r>
              <w:t>Presupposti teorici:</w:t>
            </w:r>
          </w:p>
          <w:p w:rsidR="00990B6B" w:rsidRDefault="00990B6B" w:rsidP="00990B6B">
            <w:pPr>
              <w:widowControl w:val="0"/>
              <w:spacing w:line="240" w:lineRule="auto"/>
            </w:pPr>
            <w:r>
              <w:t>1. La concentrazione</w:t>
            </w:r>
          </w:p>
          <w:p w:rsidR="00990B6B" w:rsidRDefault="00990B6B" w:rsidP="00990B6B">
            <w:pPr>
              <w:widowControl w:val="0"/>
              <w:spacing w:line="240" w:lineRule="auto"/>
            </w:pPr>
            <w:r>
              <w:t>2. La frequenza degli urti</w:t>
            </w:r>
          </w:p>
          <w:p w:rsidR="00990B6B" w:rsidRPr="00990B6B" w:rsidRDefault="00990B6B" w:rsidP="00990B6B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laboratorio: “Velocità di una reazione chimica: l’uso di un catalizzatore”</w:t>
            </w:r>
          </w:p>
          <w:p w:rsidR="00990B6B" w:rsidRDefault="00990B6B" w:rsidP="00990B6B">
            <w:pPr>
              <w:widowControl w:val="0"/>
              <w:spacing w:line="240" w:lineRule="auto"/>
            </w:pPr>
            <w:r>
              <w:t>Presupposti teorici:</w:t>
            </w:r>
          </w:p>
          <w:p w:rsidR="00990B6B" w:rsidRDefault="00990B6B" w:rsidP="00990B6B">
            <w:pPr>
              <w:widowControl w:val="0"/>
              <w:spacing w:line="240" w:lineRule="auto"/>
            </w:pPr>
            <w:r>
              <w:t>1. La barriera di attivazione</w:t>
            </w:r>
          </w:p>
          <w:p w:rsidR="00990B6B" w:rsidRDefault="00990B6B" w:rsidP="00990B6B">
            <w:pPr>
              <w:widowControl w:val="0"/>
              <w:spacing w:line="240" w:lineRule="auto"/>
            </w:pPr>
            <w:r>
              <w:t>2. Cos’è un catalizzatore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381A" w:rsidRDefault="00990B6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036614" w:rsidTr="00901423">
        <w:trPr>
          <w:trHeight w:val="1060"/>
        </w:trPr>
        <w:tc>
          <w:tcPr>
            <w:tcW w:w="32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614" w:rsidRPr="00901423" w:rsidRDefault="00901423" w:rsidP="0054381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901423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lastRenderedPageBreak/>
              <w:t xml:space="preserve">Anche le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reazioni si muovono</w:t>
            </w:r>
            <w:r w:rsidRPr="00901423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!</w:t>
            </w:r>
          </w:p>
        </w:tc>
        <w:tc>
          <w:tcPr>
            <w:tcW w:w="59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1423" w:rsidRPr="00990B6B" w:rsidRDefault="00901423" w:rsidP="00901423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</w:t>
            </w:r>
            <w:r>
              <w:rPr>
                <w:b/>
              </w:rPr>
              <w:t>rio: “L’equilibrio è mobile</w:t>
            </w:r>
            <w:r w:rsidRPr="00990B6B">
              <w:rPr>
                <w:b/>
              </w:rPr>
              <w:t>”</w:t>
            </w:r>
          </w:p>
          <w:p w:rsidR="00901423" w:rsidRDefault="00901423" w:rsidP="00901423">
            <w:pPr>
              <w:widowControl w:val="0"/>
              <w:spacing w:line="240" w:lineRule="auto"/>
            </w:pPr>
            <w:r>
              <w:t>Presupposti teorici:</w:t>
            </w:r>
          </w:p>
          <w:p w:rsidR="00901423" w:rsidRDefault="00901423" w:rsidP="00901423">
            <w:pPr>
              <w:widowControl w:val="0"/>
              <w:spacing w:line="240" w:lineRule="auto"/>
            </w:pPr>
            <w:r>
              <w:t>1. Quando finisce una reazione</w:t>
            </w:r>
          </w:p>
          <w:p w:rsidR="00901423" w:rsidRDefault="00901423" w:rsidP="00901423">
            <w:pPr>
              <w:widowControl w:val="0"/>
              <w:spacing w:line="240" w:lineRule="auto"/>
            </w:pPr>
            <w:r>
              <w:t>2. Come farla ripartire</w:t>
            </w:r>
          </w:p>
          <w:p w:rsidR="006267C3" w:rsidRPr="00990B6B" w:rsidRDefault="006267C3" w:rsidP="006267C3">
            <w:pPr>
              <w:widowControl w:val="0"/>
              <w:spacing w:line="240" w:lineRule="auto"/>
              <w:rPr>
                <w:b/>
              </w:rPr>
            </w:pPr>
            <w:r w:rsidRPr="00990B6B">
              <w:rPr>
                <w:b/>
              </w:rPr>
              <w:t>Esperienza di laborato</w:t>
            </w:r>
            <w:r w:rsidR="000F6FEF">
              <w:rPr>
                <w:b/>
              </w:rPr>
              <w:t>rio: “Diamo un titolo a questa soluzione</w:t>
            </w:r>
            <w:r w:rsidRPr="00990B6B">
              <w:rPr>
                <w:b/>
              </w:rPr>
              <w:t>”</w:t>
            </w:r>
          </w:p>
          <w:p w:rsidR="006267C3" w:rsidRDefault="006267C3" w:rsidP="006267C3">
            <w:pPr>
              <w:widowControl w:val="0"/>
              <w:spacing w:line="240" w:lineRule="auto"/>
            </w:pPr>
            <w:r>
              <w:t>Presupposti teorici:</w:t>
            </w:r>
          </w:p>
          <w:p w:rsidR="006267C3" w:rsidRDefault="000F6FEF" w:rsidP="006267C3">
            <w:pPr>
              <w:widowControl w:val="0"/>
              <w:spacing w:line="240" w:lineRule="auto"/>
            </w:pPr>
            <w:r>
              <w:t>1. Concetto di concentrazione</w:t>
            </w:r>
          </w:p>
          <w:p w:rsidR="00036614" w:rsidRDefault="000F6FEF" w:rsidP="0054381A">
            <w:pPr>
              <w:widowControl w:val="0"/>
              <w:spacing w:line="240" w:lineRule="auto"/>
            </w:pPr>
            <w:r>
              <w:t xml:space="preserve">2. Concetto di </w:t>
            </w:r>
            <w:r w:rsidR="006267C3">
              <w:t>equivalenza chimica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614" w:rsidRDefault="0090142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</w:tbl>
    <w:p w:rsidR="000A118B" w:rsidRDefault="000A118B" w:rsidP="000A118B">
      <w:pPr>
        <w:spacing w:line="240" w:lineRule="auto"/>
      </w:pPr>
    </w:p>
    <w:p w:rsidR="006C1677" w:rsidRDefault="006C1677">
      <w:pPr>
        <w:spacing w:line="240" w:lineRule="auto"/>
        <w:jc w:val="center"/>
      </w:pPr>
    </w:p>
    <w:sectPr w:rsidR="006C1677" w:rsidSect="00B80019">
      <w:headerReference w:type="default" r:id="rId22"/>
      <w:footerReference w:type="default" r:id="rId23"/>
      <w:pgSz w:w="11906" w:h="16838"/>
      <w:pgMar w:top="777" w:right="1134" w:bottom="777" w:left="1134" w:header="720" w:footer="720" w:gutter="0"/>
      <w:pgNumType w:start="1"/>
      <w:cols w:space="720" w:equalWidth="0">
        <w:col w:w="997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153" w:rsidRDefault="001F6153">
      <w:pPr>
        <w:spacing w:line="240" w:lineRule="auto"/>
      </w:pPr>
      <w:r>
        <w:separator/>
      </w:r>
    </w:p>
  </w:endnote>
  <w:endnote w:type="continuationSeparator" w:id="0">
    <w:p w:rsidR="001F6153" w:rsidRDefault="001F6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77" w:rsidRDefault="006C1677">
    <w:pPr>
      <w:tabs>
        <w:tab w:val="center" w:pos="4819"/>
        <w:tab w:val="right" w:pos="9638"/>
      </w:tabs>
      <w:spacing w:after="72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153" w:rsidRDefault="001F6153">
      <w:pPr>
        <w:spacing w:line="240" w:lineRule="auto"/>
      </w:pPr>
      <w:r>
        <w:separator/>
      </w:r>
    </w:p>
  </w:footnote>
  <w:footnote w:type="continuationSeparator" w:id="0">
    <w:p w:rsidR="001F6153" w:rsidRDefault="001F61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677" w:rsidRDefault="006C1677">
    <w:pPr>
      <w:tabs>
        <w:tab w:val="center" w:pos="4819"/>
        <w:tab w:val="right" w:pos="9638"/>
      </w:tabs>
      <w:spacing w:before="72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471D0"/>
    <w:multiLevelType w:val="multilevel"/>
    <w:tmpl w:val="FFFFFFFF"/>
    <w:lvl w:ilvl="0">
      <w:start w:val="1"/>
      <w:numFmt w:val="decimal"/>
      <w:lvlText w:val=""/>
      <w:lvlJc w:val="left"/>
      <w:pPr>
        <w:ind w:left="432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rFonts w:ascii="Verdana" w:eastAsia="Verdana" w:hAnsi="Verdana" w:cs="Verdana"/>
        <w:color w:val="660033"/>
        <w:sz w:val="16"/>
        <w:szCs w:val="16"/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">
    <w:nsid w:val="3BC071CE"/>
    <w:multiLevelType w:val="hybridMultilevel"/>
    <w:tmpl w:val="F1ECAC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C3468"/>
    <w:multiLevelType w:val="hybridMultilevel"/>
    <w:tmpl w:val="525CFB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874A4"/>
    <w:multiLevelType w:val="hybridMultilevel"/>
    <w:tmpl w:val="BFCC7B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77"/>
    <w:rsid w:val="00014F8B"/>
    <w:rsid w:val="00035BE0"/>
    <w:rsid w:val="000361FC"/>
    <w:rsid w:val="00036614"/>
    <w:rsid w:val="000A118B"/>
    <w:rsid w:val="000D68F5"/>
    <w:rsid w:val="000E7DE3"/>
    <w:rsid w:val="000F6FEF"/>
    <w:rsid w:val="0010166F"/>
    <w:rsid w:val="00115EBD"/>
    <w:rsid w:val="001678BF"/>
    <w:rsid w:val="001E3FC9"/>
    <w:rsid w:val="001F6153"/>
    <w:rsid w:val="001F7A45"/>
    <w:rsid w:val="002210FC"/>
    <w:rsid w:val="002828D0"/>
    <w:rsid w:val="00283EE8"/>
    <w:rsid w:val="002A6CDB"/>
    <w:rsid w:val="002B2600"/>
    <w:rsid w:val="002B4513"/>
    <w:rsid w:val="002C5F8D"/>
    <w:rsid w:val="002F26AC"/>
    <w:rsid w:val="00334AAA"/>
    <w:rsid w:val="003C2D10"/>
    <w:rsid w:val="003F32FB"/>
    <w:rsid w:val="00426D35"/>
    <w:rsid w:val="0043492C"/>
    <w:rsid w:val="00443D23"/>
    <w:rsid w:val="004C49B2"/>
    <w:rsid w:val="004E2F99"/>
    <w:rsid w:val="004E5932"/>
    <w:rsid w:val="00515D05"/>
    <w:rsid w:val="00534895"/>
    <w:rsid w:val="0054381A"/>
    <w:rsid w:val="00555FA9"/>
    <w:rsid w:val="005828D5"/>
    <w:rsid w:val="005C5D5D"/>
    <w:rsid w:val="005E751D"/>
    <w:rsid w:val="005F737A"/>
    <w:rsid w:val="00617FC3"/>
    <w:rsid w:val="00626215"/>
    <w:rsid w:val="006267C3"/>
    <w:rsid w:val="006A24AE"/>
    <w:rsid w:val="006B4DFE"/>
    <w:rsid w:val="006C1677"/>
    <w:rsid w:val="00733369"/>
    <w:rsid w:val="00753A0D"/>
    <w:rsid w:val="00754402"/>
    <w:rsid w:val="00755E3C"/>
    <w:rsid w:val="007657A6"/>
    <w:rsid w:val="00801DD1"/>
    <w:rsid w:val="008A55CA"/>
    <w:rsid w:val="00901423"/>
    <w:rsid w:val="0093220A"/>
    <w:rsid w:val="00970148"/>
    <w:rsid w:val="00990B6B"/>
    <w:rsid w:val="009F5FFD"/>
    <w:rsid w:val="00A06573"/>
    <w:rsid w:val="00A56976"/>
    <w:rsid w:val="00A67B70"/>
    <w:rsid w:val="00AB4D7A"/>
    <w:rsid w:val="00B31AF7"/>
    <w:rsid w:val="00B54896"/>
    <w:rsid w:val="00B6458E"/>
    <w:rsid w:val="00B80019"/>
    <w:rsid w:val="00C00BCE"/>
    <w:rsid w:val="00C150A7"/>
    <w:rsid w:val="00C210CE"/>
    <w:rsid w:val="00CB62C4"/>
    <w:rsid w:val="00DA155A"/>
    <w:rsid w:val="00EF72BD"/>
    <w:rsid w:val="00F35EBE"/>
    <w:rsid w:val="00F56799"/>
    <w:rsid w:val="00FC3E1C"/>
    <w:rsid w:val="00FC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80019"/>
  </w:style>
  <w:style w:type="paragraph" w:styleId="Titolo1">
    <w:name w:val="heading 1"/>
    <w:basedOn w:val="Normale"/>
    <w:next w:val="Normale"/>
    <w:rsid w:val="00B8001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B8001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B8001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B8001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B80019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rsid w:val="00B80019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B800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B80019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B8001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80019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49B2"/>
  </w:style>
  <w:style w:type="paragraph" w:styleId="Pidipagina">
    <w:name w:val="footer"/>
    <w:basedOn w:val="Normale"/>
    <w:link w:val="Pidipagina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4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D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DE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C5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80019"/>
  </w:style>
  <w:style w:type="paragraph" w:styleId="Titolo1">
    <w:name w:val="heading 1"/>
    <w:basedOn w:val="Normale"/>
    <w:next w:val="Normale"/>
    <w:rsid w:val="00B8001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B8001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B8001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B8001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B80019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rsid w:val="00B80019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B800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B80019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B8001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80019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49B2"/>
  </w:style>
  <w:style w:type="paragraph" w:styleId="Pidipagina">
    <w:name w:val="footer"/>
    <w:basedOn w:val="Normale"/>
    <w:link w:val="PidipaginaCarattere"/>
    <w:uiPriority w:val="99"/>
    <w:unhideWhenUsed/>
    <w:rsid w:val="004C49B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4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D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DE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C5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mailto:preside-cannizzaro@virgilio.i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Fausto Astorina</dc:creator>
  <cp:lastModifiedBy>utente</cp:lastModifiedBy>
  <cp:revision>2</cp:revision>
  <dcterms:created xsi:type="dcterms:W3CDTF">2016-10-19T09:31:00Z</dcterms:created>
  <dcterms:modified xsi:type="dcterms:W3CDTF">2016-10-19T09:31:00Z</dcterms:modified>
</cp:coreProperties>
</file>