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-552"/>
        <w:tblW w:w="9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374"/>
      </w:tblGrid>
      <w:tr w:rsidR="00A918CB" w14:paraId="50B9B9BA" w14:textId="77777777" w:rsidTr="00A918CB">
        <w:trPr>
          <w:trHeight w:val="2865"/>
        </w:trPr>
        <w:tc>
          <w:tcPr>
            <w:tcW w:w="3545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6F12B" w14:textId="77777777" w:rsidR="00A918CB" w:rsidRDefault="00A918CB" w:rsidP="00A918CB">
            <w:pPr>
              <w:spacing w:line="20" w:lineRule="atLeast"/>
              <w:rPr>
                <w:rFonts w:ascii="Arial" w:eastAsia="Arial" w:hAnsi="Arial" w:cs="Arial"/>
                <w:sz w:val="14"/>
                <w:szCs w:val="14"/>
              </w:rPr>
            </w:pPr>
            <w:bookmarkStart w:id="0" w:name="page1"/>
            <w:bookmarkEnd w:id="0"/>
          </w:p>
          <w:p w14:paraId="7B2ED7A2" w14:textId="77777777" w:rsidR="00A918CB" w:rsidRDefault="00A918CB" w:rsidP="00A918CB"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572A26F2" wp14:editId="072500BD">
                  <wp:extent cx="2249785" cy="1420192"/>
                  <wp:effectExtent l="0" t="0" r="0" b="0"/>
                  <wp:docPr id="1073741825" name="officeArt object" descr="imag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 descr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785" cy="14201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59F6" w14:textId="77777777" w:rsidR="00A918CB" w:rsidRDefault="00A918CB" w:rsidP="00A918CB">
            <w:pPr>
              <w:spacing w:line="20" w:lineRule="atLeast"/>
              <w:jc w:val="center"/>
              <w:rPr>
                <w:rFonts w:ascii="Albertus MT" w:eastAsia="Albertus MT" w:hAnsi="Albertus MT" w:cs="Albertus MT"/>
                <w:sz w:val="28"/>
                <w:szCs w:val="28"/>
              </w:rPr>
            </w:pPr>
            <w:r>
              <w:rPr>
                <w:rFonts w:ascii="Albertus MT" w:eastAsia="Albertus MT" w:hAnsi="Albertus MT" w:cs="Albertus MT"/>
                <w:noProof/>
                <w:sz w:val="28"/>
                <w:szCs w:val="28"/>
              </w:rPr>
              <w:drawing>
                <wp:inline distT="0" distB="0" distL="0" distR="0" wp14:anchorId="3199F893" wp14:editId="7AE1F5CB">
                  <wp:extent cx="533400" cy="533400"/>
                  <wp:effectExtent l="0" t="0" r="0" b="0"/>
                  <wp:docPr id="1073741826" name="officeArt object" descr="ordine_al_merito_della_repubblic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rdine_al_merito_della_repubblica.jpeg" descr="ordine_al_merito_della_repubblica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46F12CD" w14:textId="77777777" w:rsidR="00A918CB" w:rsidRDefault="00A918CB" w:rsidP="00A918CB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Istituto Tecnico Industriale</w:t>
            </w:r>
          </w:p>
          <w:p w14:paraId="2431138C" w14:textId="77777777" w:rsidR="00A918CB" w:rsidRDefault="00A918CB" w:rsidP="00A918CB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  <w:t>STANISLAO CANNIZZARO</w:t>
            </w:r>
          </w:p>
          <w:p w14:paraId="09C7A9DE" w14:textId="77777777" w:rsidR="00A918CB" w:rsidRDefault="00A918CB" w:rsidP="00A918CB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CATANIA</w:t>
            </w:r>
          </w:p>
          <w:p w14:paraId="4BCC727A" w14:textId="77777777" w:rsidR="00A918CB" w:rsidRDefault="00A918CB" w:rsidP="00A918CB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Ingresso principale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 xml:space="preserve">: Via Carlo Pisacane, 1 - 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Parcheggio mezzi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: Via Palermo, 282 cap. 95122</w:t>
            </w:r>
          </w:p>
          <w:p w14:paraId="7D50A170" w14:textId="5BE039D8" w:rsidR="00A918CB" w:rsidRDefault="000A23E3" w:rsidP="00A918CB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</w:pPr>
            <w:hyperlink r:id="rId9" w:history="1">
              <w:r w:rsidR="00A918CB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cttf03000r@istruzione.it</w:t>
              </w:r>
            </w:hyperlink>
            <w:r w:rsidR="00A918CB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0" w:history="1">
              <w:r w:rsidR="00A918CB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cttf03000r@pec.istruzione.it</w:t>
              </w:r>
            </w:hyperlink>
            <w:r w:rsidR="00A918CB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1" w:history="1">
              <w:r w:rsidR="00812C56" w:rsidRPr="006741F6">
                <w:rPr>
                  <w:rStyle w:val="Collegamentoipertestuale"/>
                  <w:rFonts w:ascii="Albertus MT" w:eastAsia="Albertus MT" w:hAnsi="Albertus MT" w:cs="Albertus MT"/>
                  <w:sz w:val="14"/>
                  <w:szCs w:val="14"/>
                </w:rPr>
                <w:t>www.cannizzaroct.edu.it</w:t>
              </w:r>
            </w:hyperlink>
          </w:p>
          <w:p w14:paraId="194E2DD7" w14:textId="77777777" w:rsidR="00A918CB" w:rsidRPr="00420FFC" w:rsidRDefault="00A918CB" w:rsidP="00A918CB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>tel. 095 613 6450 – Fax 095 613 6449</w:t>
            </w:r>
          </w:p>
          <w:p w14:paraId="67415729" w14:textId="77777777" w:rsidR="00A918CB" w:rsidRDefault="00A918CB" w:rsidP="00A918CB">
            <w:pPr>
              <w:spacing w:line="20" w:lineRule="atLeast"/>
              <w:jc w:val="center"/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 xml:space="preserve">Cod. Fisc. 80008210876 - Cod. </w:t>
            </w:r>
            <w:proofErr w:type="spellStart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Mecc</w:t>
            </w:r>
            <w:proofErr w:type="spellEnd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. CTTF03000R e CTTF030517 (Corso IDA)</w:t>
            </w:r>
          </w:p>
        </w:tc>
      </w:tr>
    </w:tbl>
    <w:p w14:paraId="7025E2DA" w14:textId="77777777" w:rsidR="00CA4A6E" w:rsidRDefault="00AF3021">
      <w:pPr>
        <w:spacing w:line="20" w:lineRule="atLeast"/>
        <w:rPr>
          <w:rStyle w:val="Nessuno"/>
          <w:rFonts w:ascii="Times New Roman" w:eastAsia="Times New Roman" w:hAnsi="Times New Roman" w:cs="Times New Roman"/>
          <w:i/>
          <w:iCs/>
          <w:color w:val="595959"/>
          <w:sz w:val="22"/>
          <w:szCs w:val="22"/>
          <w:u w:color="595959"/>
        </w:rPr>
      </w:pPr>
      <w:r>
        <w:rPr>
          <w:rStyle w:val="Nessuno"/>
          <w:rFonts w:ascii="Arial" w:hAnsi="Arial"/>
          <w:sz w:val="14"/>
          <w:szCs w:val="14"/>
        </w:rPr>
        <w:t xml:space="preserve">                                                                                                  </w:t>
      </w:r>
    </w:p>
    <w:p w14:paraId="787CBD65" w14:textId="39CBC9A8" w:rsidR="00CA4A6E" w:rsidRPr="00420FFC" w:rsidRDefault="00B3612B" w:rsidP="00B361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Nessuno"/>
          <w:rFonts w:ascii="Times New Roman" w:hAnsi="Times New Roman"/>
          <w:sz w:val="22"/>
          <w:szCs w:val="22"/>
          <w:lang w:val="en-US"/>
        </w:rPr>
      </w:pPr>
      <w:r w:rsidRPr="00420FFC">
        <w:rPr>
          <w:rStyle w:val="Nessuno"/>
          <w:rFonts w:ascii="Times New Roman" w:hAnsi="Times New Roman"/>
          <w:sz w:val="22"/>
          <w:szCs w:val="22"/>
          <w:lang w:val="en-US"/>
        </w:rPr>
        <w:t>Prot. N.</w:t>
      </w:r>
    </w:p>
    <w:p w14:paraId="5A0415D6" w14:textId="123971B8" w:rsidR="00B3612B" w:rsidRPr="00420FFC" w:rsidRDefault="00B3612B" w:rsidP="00B361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Nessuno"/>
          <w:rFonts w:ascii="Times New Roman" w:eastAsia="Times New Roman" w:hAnsi="Times New Roman" w:cs="Times New Roman"/>
          <w:sz w:val="22"/>
          <w:szCs w:val="22"/>
          <w:lang w:val="en-US"/>
        </w:rPr>
      </w:pPr>
      <w:r w:rsidRPr="00420FFC">
        <w:rPr>
          <w:rStyle w:val="Nessuno"/>
          <w:rFonts w:ascii="Times New Roman" w:hAnsi="Times New Roman"/>
          <w:sz w:val="22"/>
          <w:szCs w:val="22"/>
          <w:lang w:val="en-US"/>
        </w:rPr>
        <w:t xml:space="preserve">Del </w:t>
      </w:r>
    </w:p>
    <w:p w14:paraId="56C7581C" w14:textId="0F395FB0" w:rsidR="00A918CB" w:rsidRDefault="00A918CB" w:rsidP="00A918CB">
      <w:pPr>
        <w:pStyle w:val="Default"/>
        <w:jc w:val="right"/>
        <w:rPr>
          <w:b/>
          <w:bCs/>
          <w:sz w:val="22"/>
          <w:szCs w:val="22"/>
        </w:rPr>
      </w:pPr>
      <w:r w:rsidRPr="00420FFC">
        <w:rPr>
          <w:b/>
          <w:bCs/>
          <w:sz w:val="22"/>
          <w:szCs w:val="22"/>
          <w:lang w:val="en-US"/>
        </w:rPr>
        <w:t xml:space="preserve">All’   </w:t>
      </w:r>
      <w:r w:rsidRPr="00420FFC">
        <w:rPr>
          <w:b/>
          <w:bCs/>
          <w:sz w:val="22"/>
          <w:szCs w:val="22"/>
          <w:u w:val="single"/>
          <w:lang w:val="en-US"/>
        </w:rPr>
        <w:t>I.N.A.I.L.</w:t>
      </w:r>
      <w:r w:rsidR="00577B7F" w:rsidRPr="00420FFC">
        <w:rPr>
          <w:b/>
          <w:bCs/>
          <w:sz w:val="22"/>
          <w:szCs w:val="22"/>
          <w:u w:val="single"/>
          <w:lang w:val="en-US"/>
        </w:rPr>
        <w:t xml:space="preserve"> Dip. </w:t>
      </w:r>
      <w:r w:rsidR="00577B7F">
        <w:rPr>
          <w:b/>
          <w:bCs/>
          <w:sz w:val="22"/>
          <w:szCs w:val="22"/>
          <w:u w:val="single"/>
        </w:rPr>
        <w:t>Territoriale</w:t>
      </w:r>
    </w:p>
    <w:p w14:paraId="388C043D" w14:textId="77777777" w:rsidR="00A918CB" w:rsidRPr="00B3612B" w:rsidRDefault="00A918CB" w:rsidP="00A918CB">
      <w:pPr>
        <w:pStyle w:val="Default"/>
        <w:jc w:val="right"/>
        <w:rPr>
          <w:sz w:val="22"/>
          <w:szCs w:val="22"/>
        </w:rPr>
      </w:pPr>
      <w:r w:rsidRPr="00B3612B">
        <w:rPr>
          <w:sz w:val="22"/>
          <w:szCs w:val="22"/>
        </w:rPr>
        <w:t xml:space="preserve">Via </w:t>
      </w:r>
      <w:proofErr w:type="spellStart"/>
      <w:r w:rsidRPr="00B3612B">
        <w:rPr>
          <w:sz w:val="22"/>
          <w:szCs w:val="22"/>
        </w:rPr>
        <w:t>Cifali</w:t>
      </w:r>
      <w:proofErr w:type="spellEnd"/>
      <w:r w:rsidRPr="00B3612B">
        <w:rPr>
          <w:sz w:val="22"/>
          <w:szCs w:val="22"/>
        </w:rPr>
        <w:t>, 76/A</w:t>
      </w:r>
    </w:p>
    <w:p w14:paraId="6E8B585F" w14:textId="0901FC61" w:rsidR="00A918CB" w:rsidRPr="00B3612B" w:rsidRDefault="00A918CB" w:rsidP="00A918CB">
      <w:pPr>
        <w:pStyle w:val="Default"/>
        <w:jc w:val="right"/>
        <w:rPr>
          <w:sz w:val="22"/>
          <w:szCs w:val="22"/>
        </w:rPr>
      </w:pPr>
      <w:r w:rsidRPr="00B3612B">
        <w:rPr>
          <w:sz w:val="22"/>
          <w:szCs w:val="22"/>
        </w:rPr>
        <w:t>9512</w:t>
      </w:r>
      <w:r w:rsidR="00577B7F" w:rsidRPr="00B3612B">
        <w:rPr>
          <w:sz w:val="22"/>
          <w:szCs w:val="22"/>
        </w:rPr>
        <w:t>3</w:t>
      </w:r>
      <w:r w:rsidRPr="00B3612B">
        <w:rPr>
          <w:sz w:val="22"/>
          <w:szCs w:val="22"/>
        </w:rPr>
        <w:t xml:space="preserve"> </w:t>
      </w:r>
      <w:r w:rsidR="00577B7F" w:rsidRPr="00B3612B">
        <w:rPr>
          <w:sz w:val="22"/>
          <w:szCs w:val="22"/>
        </w:rPr>
        <w:t>–</w:t>
      </w:r>
      <w:r w:rsidRPr="00B3612B">
        <w:rPr>
          <w:sz w:val="22"/>
          <w:szCs w:val="22"/>
        </w:rPr>
        <w:t xml:space="preserve"> Catania</w:t>
      </w:r>
    </w:p>
    <w:p w14:paraId="0B98BFD7" w14:textId="7D3DA226" w:rsidR="00577B7F" w:rsidRPr="00B3612B" w:rsidRDefault="000A23E3" w:rsidP="00A918CB">
      <w:pPr>
        <w:pStyle w:val="Default"/>
        <w:jc w:val="right"/>
        <w:rPr>
          <w:rStyle w:val="Collegamentoipertestuale"/>
          <w:color w:val="0000FF"/>
        </w:rPr>
      </w:pPr>
      <w:hyperlink r:id="rId12" w:history="1">
        <w:r w:rsidR="00B3612B" w:rsidRPr="00B3612B">
          <w:rPr>
            <w:rStyle w:val="Collegamentoipertestuale"/>
            <w:color w:val="0000FF"/>
            <w:sz w:val="22"/>
            <w:szCs w:val="22"/>
          </w:rPr>
          <w:t>catania-uotcvr@inail.it</w:t>
        </w:r>
      </w:hyperlink>
    </w:p>
    <w:p w14:paraId="0A5E39E9" w14:textId="55F5019D" w:rsidR="00B3612B" w:rsidRPr="00B3612B" w:rsidRDefault="000A23E3" w:rsidP="00B3612B">
      <w:pPr>
        <w:pStyle w:val="Default"/>
        <w:jc w:val="right"/>
        <w:rPr>
          <w:color w:val="0000FF"/>
          <w:u w:val="single"/>
        </w:rPr>
      </w:pPr>
      <w:hyperlink r:id="rId13" w:history="1">
        <w:r w:rsidR="00B3612B" w:rsidRPr="00B3612B">
          <w:rPr>
            <w:rStyle w:val="Collegamentoipertestuale"/>
            <w:color w:val="0000FF"/>
            <w:sz w:val="22"/>
            <w:szCs w:val="22"/>
          </w:rPr>
          <w:t>catania-ricerca@postacert.inail.it</w:t>
        </w:r>
      </w:hyperlink>
    </w:p>
    <w:p w14:paraId="72CA27E6" w14:textId="77777777" w:rsidR="00A918CB" w:rsidRDefault="00A918CB" w:rsidP="00A918CB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14:paraId="50699844" w14:textId="544A4FFF" w:rsidR="00A918CB" w:rsidRDefault="00A918CB" w:rsidP="00A918CB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All’   </w:t>
      </w:r>
      <w:r>
        <w:rPr>
          <w:b/>
          <w:bCs/>
          <w:sz w:val="22"/>
          <w:szCs w:val="22"/>
          <w:u w:val="single"/>
        </w:rPr>
        <w:t xml:space="preserve">ISPETTORATO </w:t>
      </w:r>
      <w:r w:rsidR="00577B7F">
        <w:rPr>
          <w:b/>
          <w:bCs/>
          <w:sz w:val="22"/>
          <w:szCs w:val="22"/>
          <w:u w:val="single"/>
        </w:rPr>
        <w:t>TERRITORIALE</w:t>
      </w:r>
      <w:r>
        <w:rPr>
          <w:b/>
          <w:bCs/>
          <w:sz w:val="22"/>
          <w:szCs w:val="22"/>
          <w:u w:val="single"/>
        </w:rPr>
        <w:t xml:space="preserve"> DEL LAVORO</w:t>
      </w:r>
      <w:r>
        <w:rPr>
          <w:b/>
          <w:bCs/>
          <w:sz w:val="22"/>
          <w:szCs w:val="22"/>
        </w:rPr>
        <w:t xml:space="preserve"> </w:t>
      </w:r>
    </w:p>
    <w:p w14:paraId="7E035053" w14:textId="6A57A84C" w:rsidR="00A918CB" w:rsidRPr="00B3612B" w:rsidRDefault="00A918CB" w:rsidP="00A918CB">
      <w:pPr>
        <w:pStyle w:val="Default"/>
        <w:jc w:val="right"/>
        <w:rPr>
          <w:sz w:val="22"/>
          <w:szCs w:val="22"/>
        </w:rPr>
      </w:pPr>
      <w:r w:rsidRPr="00B3612B">
        <w:rPr>
          <w:sz w:val="22"/>
          <w:szCs w:val="22"/>
        </w:rPr>
        <w:t xml:space="preserve">Via </w:t>
      </w:r>
      <w:r w:rsidR="00577B7F" w:rsidRPr="00B3612B">
        <w:rPr>
          <w:sz w:val="22"/>
          <w:szCs w:val="22"/>
        </w:rPr>
        <w:t>Battello. 29/b</w:t>
      </w:r>
    </w:p>
    <w:p w14:paraId="602D885F" w14:textId="6BAF2F77" w:rsidR="00A918CB" w:rsidRPr="00B3612B" w:rsidRDefault="00A918CB" w:rsidP="00A918CB">
      <w:pPr>
        <w:pStyle w:val="Default"/>
        <w:jc w:val="right"/>
        <w:rPr>
          <w:sz w:val="22"/>
          <w:szCs w:val="22"/>
        </w:rPr>
      </w:pPr>
      <w:r w:rsidRPr="00B3612B">
        <w:rPr>
          <w:sz w:val="22"/>
          <w:szCs w:val="22"/>
        </w:rPr>
        <w:t xml:space="preserve">95126 </w:t>
      </w:r>
      <w:r w:rsidR="00577B7F" w:rsidRPr="00B3612B">
        <w:rPr>
          <w:sz w:val="22"/>
          <w:szCs w:val="22"/>
        </w:rPr>
        <w:t>–</w:t>
      </w:r>
      <w:r w:rsidRPr="00B3612B">
        <w:rPr>
          <w:sz w:val="22"/>
          <w:szCs w:val="22"/>
        </w:rPr>
        <w:t xml:space="preserve"> Catania</w:t>
      </w:r>
    </w:p>
    <w:p w14:paraId="0C2185C3" w14:textId="2EE48769" w:rsidR="00577B7F" w:rsidRPr="00B3612B" w:rsidRDefault="000A23E3" w:rsidP="00577B7F">
      <w:pPr>
        <w:pStyle w:val="Default"/>
        <w:jc w:val="right"/>
        <w:rPr>
          <w:color w:val="0000FF"/>
          <w:sz w:val="22"/>
          <w:szCs w:val="22"/>
        </w:rPr>
      </w:pPr>
      <w:hyperlink r:id="rId14" w:history="1">
        <w:r w:rsidR="00577B7F" w:rsidRPr="00B3612B">
          <w:rPr>
            <w:rStyle w:val="Collegamentoipertestuale"/>
            <w:color w:val="0000FF"/>
            <w:sz w:val="22"/>
            <w:szCs w:val="22"/>
          </w:rPr>
          <w:t>ictc00@regione.sicilia.it</w:t>
        </w:r>
      </w:hyperlink>
    </w:p>
    <w:p w14:paraId="1DE88F82" w14:textId="7E90BC1B" w:rsidR="00577B7F" w:rsidRPr="00B3612B" w:rsidRDefault="000A23E3" w:rsidP="00A918CB">
      <w:pPr>
        <w:pStyle w:val="Default"/>
        <w:jc w:val="right"/>
        <w:rPr>
          <w:color w:val="0000FF"/>
          <w:sz w:val="22"/>
          <w:szCs w:val="22"/>
        </w:rPr>
      </w:pPr>
      <w:hyperlink r:id="rId15" w:history="1">
        <w:r w:rsidR="00577B7F" w:rsidRPr="00B3612B">
          <w:rPr>
            <w:rStyle w:val="Collegamentoipertestuale"/>
            <w:color w:val="0000FF"/>
            <w:sz w:val="22"/>
            <w:szCs w:val="22"/>
          </w:rPr>
          <w:t>iti.ct@certmail.regione.sicilia.it</w:t>
        </w:r>
      </w:hyperlink>
    </w:p>
    <w:p w14:paraId="5BC718BE" w14:textId="77777777" w:rsidR="00577B7F" w:rsidRDefault="00577B7F" w:rsidP="00A918CB">
      <w:pPr>
        <w:pStyle w:val="Default"/>
        <w:jc w:val="right"/>
        <w:rPr>
          <w:b/>
          <w:bCs/>
          <w:sz w:val="22"/>
          <w:szCs w:val="22"/>
        </w:rPr>
      </w:pPr>
    </w:p>
    <w:p w14:paraId="4DD5870B" w14:textId="77777777" w:rsidR="00A918CB" w:rsidRDefault="00A918CB" w:rsidP="00A918CB">
      <w:pPr>
        <w:pStyle w:val="Default"/>
        <w:jc w:val="right"/>
        <w:rPr>
          <w:bCs/>
          <w:sz w:val="22"/>
          <w:szCs w:val="22"/>
        </w:rPr>
      </w:pPr>
    </w:p>
    <w:p w14:paraId="13AA855E" w14:textId="77777777" w:rsidR="00A918CB" w:rsidRDefault="00A918CB" w:rsidP="00A918CB">
      <w:pPr>
        <w:pStyle w:val="Default"/>
        <w:jc w:val="both"/>
        <w:rPr>
          <w:bCs/>
          <w:color w:val="auto"/>
          <w:sz w:val="22"/>
          <w:szCs w:val="22"/>
        </w:rPr>
      </w:pPr>
    </w:p>
    <w:p w14:paraId="0FCB2EDC" w14:textId="2E048D45" w:rsidR="00A918CB" w:rsidRDefault="00A918CB" w:rsidP="00A918CB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OGGETTO: </w:t>
      </w:r>
      <w:r w:rsidR="00812C56">
        <w:rPr>
          <w:b/>
          <w:bCs/>
          <w:color w:val="auto"/>
          <w:sz w:val="22"/>
          <w:szCs w:val="22"/>
        </w:rPr>
        <w:t>Percorsi per le Competenze Trasversali e per l’Orientamento</w:t>
      </w:r>
      <w:r>
        <w:rPr>
          <w:b/>
          <w:bCs/>
          <w:color w:val="auto"/>
          <w:sz w:val="22"/>
          <w:szCs w:val="22"/>
        </w:rPr>
        <w:t xml:space="preserve"> alunni dell’ITIS “Stanislao Cannizzaro” di Catania presso ditte e società della provincia di Catania (D.lgs. 15 aprile 2005 n.77 e Legge 13 luglio 2015 n.107)  </w:t>
      </w:r>
    </w:p>
    <w:p w14:paraId="00D15AE2" w14:textId="77777777" w:rsidR="00A918CB" w:rsidRDefault="00A918CB" w:rsidP="00A918CB">
      <w:pPr>
        <w:pStyle w:val="Default"/>
        <w:jc w:val="both"/>
        <w:rPr>
          <w:bCs/>
          <w:color w:val="auto"/>
          <w:sz w:val="22"/>
          <w:szCs w:val="22"/>
        </w:rPr>
      </w:pPr>
    </w:p>
    <w:p w14:paraId="7A9842FA" w14:textId="77777777" w:rsidR="00A918CB" w:rsidRDefault="00A918CB" w:rsidP="00A918CB">
      <w:pPr>
        <w:pStyle w:val="Default"/>
        <w:jc w:val="both"/>
        <w:rPr>
          <w:bCs/>
          <w:color w:val="auto"/>
          <w:sz w:val="22"/>
          <w:szCs w:val="22"/>
        </w:rPr>
      </w:pPr>
    </w:p>
    <w:p w14:paraId="3E4E5779" w14:textId="3B0BCF0F" w:rsidR="00A918CB" w:rsidRDefault="00A918CB" w:rsidP="00A918C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Si comunica che sulla base di specifiche convenzioni stipulate fra l’Istituto Tecnico Industriale “Stanislao Cannizzaro” di Catania ed alcune aziende e società della provincia etnea studenti delle classi III, IV e V dell’indirizzo </w:t>
      </w:r>
      <w:r>
        <w:rPr>
          <w:bCs/>
          <w:color w:val="auto"/>
          <w:u w:val="single"/>
        </w:rPr>
        <w:t>Meccanica, Meccatronica ed Energia</w:t>
      </w:r>
      <w:r>
        <w:rPr>
          <w:bCs/>
          <w:color w:val="auto"/>
        </w:rPr>
        <w:t xml:space="preserve"> stanno effettuando </w:t>
      </w:r>
      <w:r w:rsidR="00812C56">
        <w:rPr>
          <w:bCs/>
          <w:color w:val="auto"/>
        </w:rPr>
        <w:t>P</w:t>
      </w:r>
      <w:r>
        <w:rPr>
          <w:bCs/>
          <w:color w:val="auto"/>
        </w:rPr>
        <w:t xml:space="preserve">ercorsi </w:t>
      </w:r>
      <w:r w:rsidR="00812C56">
        <w:rPr>
          <w:bCs/>
          <w:color w:val="auto"/>
        </w:rPr>
        <w:t>per le Competenze Trasversali e per l’Orientamento (PCTO)</w:t>
      </w:r>
      <w:r>
        <w:rPr>
          <w:bCs/>
          <w:color w:val="auto"/>
        </w:rPr>
        <w:t>.</w:t>
      </w:r>
    </w:p>
    <w:p w14:paraId="5E7E9C7D" w14:textId="34797FE8" w:rsidR="00A918CB" w:rsidRDefault="00A918CB" w:rsidP="00A918CB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</w:rPr>
        <w:t xml:space="preserve">I percorsi hanno avuto inizio nel mese di </w:t>
      </w:r>
      <w:r w:rsidR="00812C56">
        <w:rPr>
          <w:b/>
          <w:color w:val="auto"/>
        </w:rPr>
        <w:t>gennaio</w:t>
      </w:r>
      <w:r>
        <w:rPr>
          <w:bCs/>
          <w:color w:val="auto"/>
        </w:rPr>
        <w:t xml:space="preserve"> e si protrarranno fino al mese di </w:t>
      </w:r>
      <w:r w:rsidR="00812C56" w:rsidRPr="00812C56">
        <w:rPr>
          <w:b/>
          <w:color w:val="auto"/>
        </w:rPr>
        <w:t>giugno</w:t>
      </w:r>
      <w:r w:rsidRPr="00812C56">
        <w:rPr>
          <w:b/>
          <w:color w:val="auto"/>
        </w:rPr>
        <w:t xml:space="preserve"> 20</w:t>
      </w:r>
      <w:r w:rsidR="00812C56" w:rsidRPr="00812C56">
        <w:rPr>
          <w:b/>
          <w:color w:val="auto"/>
        </w:rPr>
        <w:t>22</w:t>
      </w:r>
      <w:r>
        <w:rPr>
          <w:bCs/>
          <w:color w:val="auto"/>
        </w:rPr>
        <w:t>.</w:t>
      </w:r>
    </w:p>
    <w:p w14:paraId="3A4657F4" w14:textId="77777777" w:rsidR="00A918CB" w:rsidRDefault="00A918CB" w:rsidP="00A918CB">
      <w:pPr>
        <w:pStyle w:val="Default"/>
        <w:ind w:firstLine="708"/>
        <w:jc w:val="both"/>
        <w:rPr>
          <w:bCs/>
          <w:color w:val="auto"/>
        </w:rPr>
      </w:pPr>
      <w:r>
        <w:rPr>
          <w:bCs/>
          <w:color w:val="auto"/>
        </w:rPr>
        <w:t xml:space="preserve">Ai sensi del Decreto Legislativo 77/2005 </w:t>
      </w:r>
      <w:r>
        <w:rPr>
          <w:bCs/>
          <w:i/>
          <w:color w:val="auto"/>
        </w:rPr>
        <w:t>“Definizione delle norme generali relative all'alternanza scuola-lavoro, ai sensi dell'articolo 4 della legge 28 marzo 2003 n. 53”</w:t>
      </w:r>
      <w:r>
        <w:rPr>
          <w:bCs/>
          <w:color w:val="auto"/>
        </w:rPr>
        <w:t xml:space="preserve"> i periodi trascorsi presso tali aziende sono considerati a tutti gli effetti come attività didattica e come tali vengono disciplinati, per quanto concerne lo status degli studenti dalle norme di legislazione scolastica. Come previsto dalla normativa per tali percorsi formativi non è prevista alcuna forma retributiva all’alunno. </w:t>
      </w:r>
    </w:p>
    <w:p w14:paraId="37A8FEBD" w14:textId="77777777" w:rsidR="00A918CB" w:rsidRDefault="00A918CB" w:rsidP="00A918CB">
      <w:pPr>
        <w:pStyle w:val="Default"/>
        <w:ind w:firstLine="708"/>
        <w:jc w:val="both"/>
        <w:rPr>
          <w:bCs/>
          <w:color w:val="auto"/>
        </w:rPr>
      </w:pPr>
      <w:r>
        <w:rPr>
          <w:bCs/>
          <w:color w:val="auto"/>
        </w:rPr>
        <w:t xml:space="preserve">Si comunica, altresì, che gli allievi sono coperti da assicurazione contro gli infortuni alla propria persona e la responsabilità civile dell’Istituto verso terzi. </w:t>
      </w:r>
    </w:p>
    <w:p w14:paraId="69415CFE" w14:textId="77777777" w:rsidR="00A918CB" w:rsidRDefault="00A918CB" w:rsidP="00A918CB">
      <w:pPr>
        <w:pStyle w:val="Default"/>
        <w:ind w:firstLine="708"/>
        <w:jc w:val="both"/>
        <w:rPr>
          <w:bCs/>
          <w:color w:val="auto"/>
        </w:rPr>
      </w:pPr>
      <w:r>
        <w:rPr>
          <w:bCs/>
          <w:color w:val="auto"/>
        </w:rPr>
        <w:t>Questa istituzione comunicherà eventuali e/o sopravvenuti cambiamenti di programma e/o nuovi soggetti ospitanti convenzionati.</w:t>
      </w:r>
    </w:p>
    <w:p w14:paraId="0B996F4B" w14:textId="77777777" w:rsidR="00A918CB" w:rsidRDefault="00A918CB" w:rsidP="00A918CB">
      <w:pPr>
        <w:pStyle w:val="Default"/>
        <w:jc w:val="both"/>
        <w:rPr>
          <w:bCs/>
          <w:color w:val="auto"/>
        </w:rPr>
      </w:pPr>
    </w:p>
    <w:p w14:paraId="184F3CC2" w14:textId="002A290C" w:rsidR="00A918CB" w:rsidRDefault="00A918CB" w:rsidP="00A918C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>In allegato l’elenco dei soggetti ospitanti</w:t>
      </w:r>
      <w:r w:rsidR="00B3612B">
        <w:rPr>
          <w:bCs/>
          <w:color w:val="auto"/>
        </w:rPr>
        <w:t xml:space="preserve"> e studenti impegnati</w:t>
      </w:r>
      <w:r>
        <w:rPr>
          <w:bCs/>
          <w:color w:val="auto"/>
        </w:rPr>
        <w:t xml:space="preserve">:  </w:t>
      </w:r>
    </w:p>
    <w:p w14:paraId="32DA8DE8" w14:textId="77777777" w:rsidR="00A918CB" w:rsidRDefault="00A918CB" w:rsidP="00A918CB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9C2B18A" w14:textId="77777777" w:rsidR="00420FFC" w:rsidRDefault="00A918CB" w:rsidP="00420FFC">
      <w:pPr>
        <w:autoSpaceDE w:val="0"/>
        <w:autoSpaceDN w:val="0"/>
        <w:adjustRightInd w:val="0"/>
        <w:jc w:val="right"/>
        <w:rPr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  <w:bookmarkStart w:id="1" w:name="_Hlk41059484"/>
      <w:r w:rsidR="00420FFC">
        <w:rPr>
          <w:bCs/>
          <w:i/>
          <w:sz w:val="22"/>
          <w:szCs w:val="22"/>
        </w:rPr>
        <w:t>Il Dirigente Scolastico</w:t>
      </w:r>
    </w:p>
    <w:p w14:paraId="4D21CA42" w14:textId="77777777" w:rsidR="00420FFC" w:rsidRDefault="00420FFC" w:rsidP="00420FFC">
      <w:pPr>
        <w:autoSpaceDE w:val="0"/>
        <w:autoSpaceDN w:val="0"/>
        <w:adjustRightInd w:val="0"/>
        <w:jc w:val="right"/>
        <w:rPr>
          <w:rFonts w:ascii="Monotype Corsiva" w:hAnsi="Monotype Corsiva"/>
          <w:bCs/>
          <w:i/>
          <w:sz w:val="32"/>
          <w:szCs w:val="32"/>
        </w:rPr>
      </w:pPr>
      <w:r>
        <w:rPr>
          <w:rFonts w:ascii="Monotype Corsiva" w:hAnsi="Monotype Corsiva"/>
          <w:bCs/>
          <w:i/>
          <w:sz w:val="32"/>
          <w:szCs w:val="32"/>
        </w:rPr>
        <w:t>f.to Prof.ssa Giuseppina Montella</w:t>
      </w:r>
    </w:p>
    <w:p w14:paraId="481134FA" w14:textId="305AB1B3" w:rsidR="00CA4A6E" w:rsidRPr="00420FFC" w:rsidRDefault="00420FFC" w:rsidP="00420FFC">
      <w:pPr>
        <w:jc w:val="right"/>
        <w:rPr>
          <w:sz w:val="18"/>
          <w:szCs w:val="18"/>
        </w:rPr>
      </w:pPr>
      <w:r>
        <w:rPr>
          <w:sz w:val="18"/>
          <w:szCs w:val="18"/>
        </w:rPr>
        <w:t>Firma autografa sostituita a mezzo stampa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ai sensi e per gli effetti dell’art.36 c.2 del D.lgs. 39/93</w:t>
      </w:r>
      <w:bookmarkEnd w:id="1"/>
    </w:p>
    <w:sectPr w:rsidR="00CA4A6E" w:rsidRPr="00420FFC" w:rsidSect="006613D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418" w:right="1418" w:bottom="1418" w:left="1418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85B5" w14:textId="77777777" w:rsidR="000A23E3" w:rsidRDefault="000A23E3">
      <w:r>
        <w:separator/>
      </w:r>
    </w:p>
  </w:endnote>
  <w:endnote w:type="continuationSeparator" w:id="0">
    <w:p w14:paraId="08BF8DA1" w14:textId="77777777" w:rsidR="000A23E3" w:rsidRDefault="000A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T">
    <w:altName w:val="Candara"/>
    <w:charset w:val="00"/>
    <w:family w:val="roman"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F53E" w14:textId="77777777" w:rsidR="00812C56" w:rsidRDefault="00812C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5754" w14:textId="77777777" w:rsidR="00CA4A6E" w:rsidRDefault="00AF3021">
    <w:pPr>
      <w:pStyle w:val="Intestazione"/>
      <w:tabs>
        <w:tab w:val="clear" w:pos="9638"/>
        <w:tab w:val="right" w:pos="9000"/>
      </w:tabs>
      <w:jc w:val="right"/>
      <w:rPr>
        <w:caps/>
        <w:sz w:val="18"/>
        <w:szCs w:val="18"/>
      </w:rPr>
    </w:pPr>
    <w:r>
      <w:rPr>
        <w:caps/>
        <w:sz w:val="18"/>
        <w:szCs w:val="18"/>
      </w:rPr>
      <w:tab/>
    </w:r>
  </w:p>
  <w:p w14:paraId="5091ED15" w14:textId="50B00EB3" w:rsidR="00CA4A6E" w:rsidRDefault="00AF3021" w:rsidP="006613D9">
    <w:pPr>
      <w:pStyle w:val="Pidipagina"/>
      <w:tabs>
        <w:tab w:val="clear" w:pos="9638"/>
        <w:tab w:val="right" w:pos="9000"/>
      </w:tabs>
      <w:jc w:val="center"/>
    </w:pP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ITI STANISLAO CANNIZZARO Via Carlo Pisacane, 1 -95122 Catania; www.cannizzaroct.</w:t>
    </w:r>
    <w:r w:rsidR="00812C56">
      <w:rPr>
        <w:rFonts w:ascii="Albertus MT" w:eastAsia="Albertus MT" w:hAnsi="Albertus MT" w:cs="Albertus MT"/>
        <w:color w:val="002060"/>
        <w:sz w:val="16"/>
        <w:szCs w:val="16"/>
        <w:u w:color="002060"/>
      </w:rPr>
      <w:t>edu</w:t>
    </w: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BDFD" w14:textId="77777777" w:rsidR="00812C56" w:rsidRDefault="00812C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B164" w14:textId="77777777" w:rsidR="000A23E3" w:rsidRDefault="000A23E3">
      <w:r>
        <w:separator/>
      </w:r>
    </w:p>
  </w:footnote>
  <w:footnote w:type="continuationSeparator" w:id="0">
    <w:p w14:paraId="427A06EA" w14:textId="77777777" w:rsidR="000A23E3" w:rsidRDefault="000A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80E1" w14:textId="77777777" w:rsidR="00812C56" w:rsidRDefault="00812C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159E" w14:textId="77777777" w:rsidR="00812C56" w:rsidRDefault="00812C5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1063" w14:textId="77777777" w:rsidR="00812C56" w:rsidRDefault="00812C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B9E52D9"/>
    <w:multiLevelType w:val="hybridMultilevel"/>
    <w:tmpl w:val="FBC8C556"/>
    <w:numStyleLink w:val="Stileimportato3"/>
  </w:abstractNum>
  <w:abstractNum w:abstractNumId="2" w15:restartNumberingAfterBreak="0">
    <w:nsid w:val="156F729C"/>
    <w:multiLevelType w:val="hybridMultilevel"/>
    <w:tmpl w:val="548E41AA"/>
    <w:numStyleLink w:val="Stileimportato4"/>
  </w:abstractNum>
  <w:abstractNum w:abstractNumId="3" w15:restartNumberingAfterBreak="0">
    <w:nsid w:val="25266C48"/>
    <w:multiLevelType w:val="hybridMultilevel"/>
    <w:tmpl w:val="F3604740"/>
    <w:numStyleLink w:val="Stileimportato2"/>
  </w:abstractNum>
  <w:abstractNum w:abstractNumId="4" w15:restartNumberingAfterBreak="0">
    <w:nsid w:val="347414CF"/>
    <w:multiLevelType w:val="hybridMultilevel"/>
    <w:tmpl w:val="F3604740"/>
    <w:styleLink w:val="Stileimportato2"/>
    <w:lvl w:ilvl="0" w:tplc="CA64F89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F2731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47ED0">
      <w:start w:val="1"/>
      <w:numFmt w:val="bullet"/>
      <w:lvlText w:val="▪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582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8C72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883DE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2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0150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42" w:hanging="6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22A0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70016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1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0C395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02" w:hanging="6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EC94928"/>
    <w:multiLevelType w:val="hybridMultilevel"/>
    <w:tmpl w:val="8BC22954"/>
    <w:styleLink w:val="Stileimportato5"/>
    <w:lvl w:ilvl="0" w:tplc="09EACD2C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F8C6FA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A4952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6CD4E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5AFD3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25A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FCDFB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46B2F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D433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14A4F11"/>
    <w:multiLevelType w:val="hybridMultilevel"/>
    <w:tmpl w:val="8BC22954"/>
    <w:numStyleLink w:val="Stileimportato5"/>
  </w:abstractNum>
  <w:abstractNum w:abstractNumId="7" w15:restartNumberingAfterBreak="0">
    <w:nsid w:val="61082EE0"/>
    <w:multiLevelType w:val="hybridMultilevel"/>
    <w:tmpl w:val="FBC8C556"/>
    <w:styleLink w:val="Stileimportato3"/>
    <w:lvl w:ilvl="0" w:tplc="F20C39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B89282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7EC074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42D2C6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ABE66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B2E1E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22040E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82602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A237E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9C4A9D"/>
    <w:multiLevelType w:val="hybridMultilevel"/>
    <w:tmpl w:val="548E41AA"/>
    <w:styleLink w:val="Stileimportato4"/>
    <w:lvl w:ilvl="0" w:tplc="7C3A1946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3EE72E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3C8B52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0D4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67EF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504E5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C072E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26ED8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2A0B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A6E"/>
    <w:rsid w:val="000A23E3"/>
    <w:rsid w:val="00420FFC"/>
    <w:rsid w:val="00577B7F"/>
    <w:rsid w:val="006613D9"/>
    <w:rsid w:val="00690A00"/>
    <w:rsid w:val="00812C56"/>
    <w:rsid w:val="00A918CB"/>
    <w:rsid w:val="00AF3021"/>
    <w:rsid w:val="00B3612B"/>
    <w:rsid w:val="00B45BC3"/>
    <w:rsid w:val="00CA4A6E"/>
    <w:rsid w:val="00D9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FEA"/>
  <w15:docId w15:val="{E8D9A330-8017-46DE-A3D6-C3A070C0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  <w:lang w:val="it-IT"/>
    </w:rPr>
  </w:style>
  <w:style w:type="paragraph" w:customStyle="1" w:styleId="Didefault">
    <w:name w:val="Di default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Hyperlink1">
    <w:name w:val="Hyperlink.1"/>
    <w:basedOn w:val="Nessuno"/>
    <w:rPr>
      <w:rFonts w:ascii="Times New Roman" w:eastAsia="Times New Roman" w:hAnsi="Times New Roman" w:cs="Times New Roman"/>
      <w:u w:color="000000"/>
      <w:lang w:val="it-IT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numbering" w:customStyle="1" w:styleId="Stileimportato4">
    <w:name w:val="Stile importato 4"/>
    <w:pPr>
      <w:numPr>
        <w:numId w:val="5"/>
      </w:numPr>
    </w:pPr>
  </w:style>
  <w:style w:type="numbering" w:customStyle="1" w:styleId="Stileimportato5">
    <w:name w:val="Stile importato 5"/>
    <w:pPr>
      <w:numPr>
        <w:numId w:val="7"/>
      </w:numPr>
    </w:pPr>
  </w:style>
  <w:style w:type="paragraph" w:customStyle="1" w:styleId="Default">
    <w:name w:val="Default"/>
    <w:rsid w:val="00A918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paragraph" w:styleId="Paragrafoelenco">
    <w:name w:val="List Paragraph"/>
    <w:basedOn w:val="Normale"/>
    <w:uiPriority w:val="99"/>
    <w:qFormat/>
    <w:rsid w:val="00A918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cs="Times New Roman"/>
      <w:color w:val="auto"/>
      <w:sz w:val="22"/>
      <w:szCs w:val="22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2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atania-ricerca@postacert.inail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mailto:catania-uotcvr@inail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nnizzaroct.edu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ti.ct@certmail.regione.sicili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ttf03000r@pec.istruzione.it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cttf03000r@istruzione.it" TargetMode="External"/><Relationship Id="rId14" Type="http://schemas.openxmlformats.org/officeDocument/2006/relationships/hyperlink" Target="mailto:ictc00@regione.sicilia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Domenico Crudo</cp:lastModifiedBy>
  <cp:revision>5</cp:revision>
  <dcterms:created xsi:type="dcterms:W3CDTF">2019-09-19T15:14:00Z</dcterms:created>
  <dcterms:modified xsi:type="dcterms:W3CDTF">2022-01-20T18:37:00Z</dcterms:modified>
</cp:coreProperties>
</file>